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1A19B" w14:textId="77777777" w:rsidR="00A61D74" w:rsidRPr="00A24DCC" w:rsidRDefault="00502DBA" w:rsidP="00502DBA">
      <w:pPr>
        <w:spacing w:before="100" w:beforeAutospacing="1" w:after="100" w:afterAutospacing="1"/>
        <w:jc w:val="center"/>
        <w:outlineLvl w:val="0"/>
        <w:rPr>
          <w:rFonts w:ascii="Roboto" w:eastAsia="Times New Roman" w:hAnsi="Roboto"/>
          <w:b/>
          <w:bCs/>
          <w:color w:val="505050"/>
          <w:kern w:val="36"/>
          <w:sz w:val="48"/>
          <w:szCs w:val="48"/>
          <w:lang w:eastAsia="en-GB"/>
        </w:rPr>
      </w:pPr>
      <w:r>
        <w:rPr>
          <w:rFonts w:ascii="Roboto" w:eastAsia="Times New Roman" w:hAnsi="Roboto"/>
          <w:b/>
          <w:bCs/>
          <w:color w:val="505050"/>
          <w:kern w:val="36"/>
          <w:sz w:val="48"/>
          <w:szCs w:val="48"/>
          <w:lang w:eastAsia="en-GB"/>
        </w:rPr>
        <w:t>Reference m</w:t>
      </w:r>
      <w:r w:rsidR="00A61D74" w:rsidRPr="00A24DCC">
        <w:rPr>
          <w:rFonts w:ascii="Roboto" w:eastAsia="Times New Roman" w:hAnsi="Roboto"/>
          <w:b/>
          <w:bCs/>
          <w:color w:val="505050"/>
          <w:kern w:val="36"/>
          <w:sz w:val="48"/>
          <w:szCs w:val="48"/>
          <w:lang w:eastAsia="en-GB"/>
        </w:rPr>
        <w:t xml:space="preserve">etadata </w:t>
      </w:r>
      <w:r>
        <w:rPr>
          <w:rFonts w:ascii="Roboto" w:eastAsia="Times New Roman" w:hAnsi="Roboto"/>
          <w:b/>
          <w:bCs/>
          <w:color w:val="505050"/>
          <w:kern w:val="36"/>
          <w:sz w:val="48"/>
          <w:szCs w:val="48"/>
          <w:lang w:eastAsia="en-GB"/>
        </w:rPr>
        <w:t>template</w:t>
      </w:r>
      <w:r w:rsidR="00A61D74" w:rsidRPr="00A24DCC">
        <w:rPr>
          <w:rFonts w:ascii="Roboto" w:eastAsia="Times New Roman" w:hAnsi="Roboto"/>
          <w:b/>
          <w:bCs/>
          <w:color w:val="505050"/>
          <w:kern w:val="36"/>
          <w:sz w:val="48"/>
          <w:szCs w:val="48"/>
          <w:lang w:eastAsia="en-GB"/>
        </w:rPr>
        <w:t xml:space="preserve"> for </w:t>
      </w:r>
      <w:r>
        <w:rPr>
          <w:rFonts w:ascii="Roboto" w:eastAsia="Times New Roman" w:hAnsi="Roboto"/>
          <w:b/>
          <w:bCs/>
          <w:color w:val="505050"/>
          <w:kern w:val="36"/>
          <w:sz w:val="48"/>
          <w:szCs w:val="48"/>
          <w:lang w:eastAsia="en-GB"/>
        </w:rPr>
        <w:t>data reported on the Sustainable Development Goals (SDGs)</w:t>
      </w:r>
    </w:p>
    <w:p w14:paraId="13E1B08C" w14:textId="77777777" w:rsidR="00A61D74" w:rsidRPr="00621893" w:rsidRDefault="001332E0" w:rsidP="001332E0">
      <w:pPr>
        <w:rPr>
          <w:rFonts w:ascii="Roboto" w:eastAsia="Times New Roman" w:hAnsi="Roboto"/>
          <w:color w:val="244061" w:themeColor="accent1" w:themeShade="80"/>
          <w:sz w:val="24"/>
          <w:szCs w:val="24"/>
          <w:lang w:eastAsia="en-GB"/>
        </w:rPr>
      </w:pPr>
      <w:r>
        <w:rPr>
          <w:rFonts w:ascii="Roboto" w:eastAsia="Times New Roman" w:hAnsi="Roboto"/>
          <w:color w:val="244061" w:themeColor="accent1" w:themeShade="80"/>
          <w:sz w:val="24"/>
          <w:szCs w:val="24"/>
          <w:lang w:eastAsia="en-GB"/>
        </w:rPr>
        <w:t xml:space="preserve">The purpose of this </w:t>
      </w:r>
      <w:r w:rsidR="00502DBA" w:rsidRPr="00621893">
        <w:rPr>
          <w:rFonts w:ascii="Roboto" w:eastAsia="Times New Roman" w:hAnsi="Roboto"/>
          <w:color w:val="244061" w:themeColor="accent1" w:themeShade="80"/>
          <w:sz w:val="24"/>
          <w:szCs w:val="24"/>
          <w:lang w:eastAsia="en-GB"/>
        </w:rPr>
        <w:t>template</w:t>
      </w:r>
      <w:r w:rsidR="00A61D74" w:rsidRPr="00621893">
        <w:rPr>
          <w:rFonts w:ascii="Roboto" w:eastAsia="Times New Roman" w:hAnsi="Roboto"/>
          <w:color w:val="244061" w:themeColor="accent1" w:themeShade="80"/>
          <w:sz w:val="24"/>
          <w:szCs w:val="24"/>
          <w:lang w:eastAsia="en-GB"/>
        </w:rPr>
        <w:t xml:space="preserve"> is for international agencies to </w:t>
      </w:r>
      <w:r>
        <w:rPr>
          <w:rFonts w:ascii="Roboto" w:eastAsia="Times New Roman" w:hAnsi="Roboto"/>
          <w:color w:val="244061" w:themeColor="accent1" w:themeShade="80"/>
          <w:sz w:val="24"/>
          <w:szCs w:val="24"/>
          <w:lang w:eastAsia="en-GB"/>
        </w:rPr>
        <w:t>submit</w:t>
      </w:r>
      <w:r w:rsidRPr="00621893">
        <w:rPr>
          <w:rFonts w:ascii="Roboto" w:eastAsia="Times New Roman" w:hAnsi="Roboto"/>
          <w:color w:val="244061" w:themeColor="accent1" w:themeShade="80"/>
          <w:sz w:val="24"/>
          <w:szCs w:val="24"/>
          <w:lang w:eastAsia="en-GB"/>
        </w:rPr>
        <w:t xml:space="preserve"> </w:t>
      </w:r>
      <w:r w:rsidR="00502DBA" w:rsidRPr="00621893">
        <w:rPr>
          <w:rFonts w:ascii="Roboto" w:eastAsia="Times New Roman" w:hAnsi="Roboto"/>
          <w:color w:val="244061" w:themeColor="accent1" w:themeShade="80"/>
          <w:sz w:val="24"/>
          <w:szCs w:val="24"/>
          <w:lang w:eastAsia="en-GB"/>
        </w:rPr>
        <w:t xml:space="preserve">reference </w:t>
      </w:r>
      <w:r w:rsidR="00A61D74" w:rsidRPr="00621893">
        <w:rPr>
          <w:rFonts w:ascii="Roboto" w:eastAsia="Times New Roman" w:hAnsi="Roboto"/>
          <w:color w:val="244061" w:themeColor="accent1" w:themeShade="80"/>
          <w:sz w:val="24"/>
          <w:szCs w:val="24"/>
          <w:lang w:eastAsia="en-GB"/>
        </w:rPr>
        <w:t xml:space="preserve">metadata on the agreed upon </w:t>
      </w:r>
      <w:r w:rsidR="00621893">
        <w:rPr>
          <w:rFonts w:ascii="Roboto" w:eastAsia="Times New Roman" w:hAnsi="Roboto"/>
          <w:color w:val="244061" w:themeColor="accent1" w:themeShade="80"/>
          <w:sz w:val="24"/>
          <w:szCs w:val="24"/>
          <w:lang w:eastAsia="en-GB"/>
        </w:rPr>
        <w:t xml:space="preserve">tier I and II </w:t>
      </w:r>
      <w:r w:rsidR="00A61D74" w:rsidRPr="00621893">
        <w:rPr>
          <w:rFonts w:ascii="Roboto" w:eastAsia="Times New Roman" w:hAnsi="Roboto"/>
          <w:color w:val="244061" w:themeColor="accent1" w:themeShade="80"/>
          <w:sz w:val="24"/>
          <w:szCs w:val="24"/>
          <w:lang w:eastAsia="en-GB"/>
        </w:rPr>
        <w:t>global indicators</w:t>
      </w:r>
      <w:r w:rsidR="00502DBA" w:rsidRPr="00621893">
        <w:rPr>
          <w:rFonts w:ascii="Roboto" w:eastAsia="Times New Roman" w:hAnsi="Roboto"/>
          <w:color w:val="244061" w:themeColor="accent1" w:themeShade="80"/>
          <w:sz w:val="24"/>
          <w:szCs w:val="24"/>
          <w:lang w:eastAsia="en-GB"/>
        </w:rPr>
        <w:t xml:space="preserve"> and associated data</w:t>
      </w:r>
      <w:r w:rsidR="00A61D74" w:rsidRPr="00621893">
        <w:rPr>
          <w:rFonts w:ascii="Roboto" w:eastAsia="Times New Roman" w:hAnsi="Roboto"/>
          <w:color w:val="244061" w:themeColor="accent1" w:themeShade="80"/>
          <w:sz w:val="24"/>
          <w:szCs w:val="24"/>
          <w:lang w:eastAsia="en-GB"/>
        </w:rPr>
        <w:t xml:space="preserve"> </w:t>
      </w:r>
      <w:r>
        <w:rPr>
          <w:rFonts w:ascii="Roboto" w:eastAsia="Times New Roman" w:hAnsi="Roboto"/>
          <w:color w:val="244061" w:themeColor="accent1" w:themeShade="80"/>
          <w:sz w:val="24"/>
          <w:szCs w:val="24"/>
          <w:lang w:eastAsia="en-GB"/>
        </w:rPr>
        <w:t xml:space="preserve">for which they are responsible, in order </w:t>
      </w:r>
      <w:r w:rsidR="00A61D74" w:rsidRPr="00621893">
        <w:rPr>
          <w:rFonts w:ascii="Roboto" w:eastAsia="Times New Roman" w:hAnsi="Roboto"/>
          <w:color w:val="244061" w:themeColor="accent1" w:themeShade="80"/>
          <w:sz w:val="24"/>
          <w:szCs w:val="24"/>
          <w:lang w:eastAsia="en-GB"/>
        </w:rPr>
        <w:t>to monitor the Sustainable Development Goals</w:t>
      </w:r>
      <w:r w:rsidR="006C7D30">
        <w:rPr>
          <w:rFonts w:ascii="Roboto" w:eastAsia="Times New Roman" w:hAnsi="Roboto"/>
          <w:color w:val="244061" w:themeColor="accent1" w:themeShade="80"/>
          <w:sz w:val="24"/>
          <w:szCs w:val="24"/>
          <w:lang w:eastAsia="en-GB"/>
        </w:rPr>
        <w:t xml:space="preserve"> (SDGs)</w:t>
      </w:r>
      <w:r w:rsidR="00A61D74" w:rsidRPr="00621893">
        <w:rPr>
          <w:rFonts w:ascii="Roboto" w:eastAsia="Times New Roman" w:hAnsi="Roboto"/>
          <w:color w:val="244061" w:themeColor="accent1" w:themeShade="80"/>
          <w:sz w:val="24"/>
          <w:szCs w:val="24"/>
          <w:lang w:eastAsia="en-GB"/>
        </w:rPr>
        <w:t xml:space="preserve"> and targets in a consistent manner. </w:t>
      </w:r>
      <w:r>
        <w:rPr>
          <w:rFonts w:ascii="Roboto" w:eastAsia="Times New Roman" w:hAnsi="Roboto"/>
          <w:color w:val="244061" w:themeColor="accent1" w:themeShade="80"/>
          <w:sz w:val="24"/>
          <w:szCs w:val="24"/>
          <w:lang w:eastAsia="en-GB"/>
        </w:rPr>
        <w:t xml:space="preserve">We </w:t>
      </w:r>
      <w:r w:rsidRPr="00621893">
        <w:rPr>
          <w:rFonts w:ascii="Roboto" w:eastAsia="Times New Roman" w:hAnsi="Roboto"/>
          <w:color w:val="244061" w:themeColor="accent1" w:themeShade="80"/>
          <w:sz w:val="24"/>
          <w:szCs w:val="24"/>
          <w:lang w:eastAsia="en-GB"/>
        </w:rPr>
        <w:t xml:space="preserve">appreciate the work </w:t>
      </w:r>
      <w:r>
        <w:rPr>
          <w:rFonts w:ascii="Roboto" w:eastAsia="Times New Roman" w:hAnsi="Roboto"/>
          <w:color w:val="244061" w:themeColor="accent1" w:themeShade="80"/>
          <w:sz w:val="24"/>
          <w:szCs w:val="24"/>
          <w:lang w:eastAsia="en-GB"/>
        </w:rPr>
        <w:t>done by many agencies to</w:t>
      </w:r>
      <w:r w:rsidRPr="00621893">
        <w:rPr>
          <w:rFonts w:ascii="Roboto" w:eastAsia="Times New Roman" w:hAnsi="Roboto"/>
          <w:color w:val="244061" w:themeColor="accent1" w:themeShade="80"/>
          <w:sz w:val="24"/>
          <w:szCs w:val="24"/>
          <w:lang w:eastAsia="en-GB"/>
        </w:rPr>
        <w:t xml:space="preserve"> prepar</w:t>
      </w:r>
      <w:r>
        <w:rPr>
          <w:rFonts w:ascii="Roboto" w:eastAsia="Times New Roman" w:hAnsi="Roboto"/>
          <w:color w:val="244061" w:themeColor="accent1" w:themeShade="80"/>
          <w:sz w:val="24"/>
          <w:szCs w:val="24"/>
          <w:lang w:eastAsia="en-GB"/>
        </w:rPr>
        <w:t>e</w:t>
      </w:r>
      <w:r w:rsidRPr="00621893" w:rsidDel="001332E0">
        <w:rPr>
          <w:rFonts w:ascii="Roboto" w:eastAsia="Times New Roman" w:hAnsi="Roboto"/>
          <w:color w:val="244061" w:themeColor="accent1" w:themeShade="80"/>
          <w:sz w:val="24"/>
          <w:szCs w:val="24"/>
          <w:lang w:eastAsia="en-GB"/>
        </w:rPr>
        <w:t xml:space="preserve"> </w:t>
      </w:r>
      <w:r>
        <w:rPr>
          <w:rFonts w:ascii="Roboto" w:eastAsia="Times New Roman" w:hAnsi="Roboto"/>
          <w:color w:val="244061" w:themeColor="accent1" w:themeShade="80"/>
          <w:sz w:val="24"/>
          <w:szCs w:val="24"/>
          <w:lang w:eastAsia="en-GB"/>
        </w:rPr>
        <w:t xml:space="preserve">previous </w:t>
      </w:r>
      <w:r w:rsidR="00A61D74" w:rsidRPr="00621893">
        <w:rPr>
          <w:rFonts w:ascii="Roboto" w:eastAsia="Times New Roman" w:hAnsi="Roboto"/>
          <w:color w:val="244061" w:themeColor="accent1" w:themeShade="80"/>
          <w:sz w:val="24"/>
          <w:szCs w:val="24"/>
          <w:lang w:eastAsia="en-GB"/>
        </w:rPr>
        <w:t>versions of their metadata</w:t>
      </w:r>
      <w:r>
        <w:rPr>
          <w:rFonts w:ascii="Roboto" w:eastAsia="Times New Roman" w:hAnsi="Roboto"/>
          <w:color w:val="244061" w:themeColor="accent1" w:themeShade="80"/>
          <w:sz w:val="24"/>
          <w:szCs w:val="24"/>
          <w:lang w:eastAsia="en-GB"/>
        </w:rPr>
        <w:t xml:space="preserve"> and submit it </w:t>
      </w:r>
      <w:r w:rsidR="00A61D74" w:rsidRPr="00621893">
        <w:rPr>
          <w:rFonts w:ascii="Roboto" w:eastAsia="Times New Roman" w:hAnsi="Roboto"/>
          <w:color w:val="244061" w:themeColor="accent1" w:themeShade="80"/>
          <w:sz w:val="24"/>
          <w:szCs w:val="24"/>
          <w:lang w:eastAsia="en-GB"/>
        </w:rPr>
        <w:t xml:space="preserve">to UNSD </w:t>
      </w:r>
      <w:r>
        <w:rPr>
          <w:rFonts w:ascii="Roboto" w:eastAsia="Times New Roman" w:hAnsi="Roboto"/>
          <w:color w:val="244061" w:themeColor="accent1" w:themeShade="80"/>
          <w:sz w:val="24"/>
          <w:szCs w:val="24"/>
          <w:lang w:eastAsia="en-GB"/>
        </w:rPr>
        <w:t>I</w:t>
      </w:r>
      <w:r w:rsidR="00A61D74" w:rsidRPr="00621893">
        <w:rPr>
          <w:rFonts w:ascii="Roboto" w:eastAsia="Times New Roman" w:hAnsi="Roboto"/>
          <w:color w:val="244061" w:themeColor="accent1" w:themeShade="80"/>
          <w:sz w:val="24"/>
          <w:szCs w:val="24"/>
          <w:lang w:eastAsia="en-GB"/>
        </w:rPr>
        <w:t xml:space="preserve">n order to ensure </w:t>
      </w:r>
      <w:r>
        <w:rPr>
          <w:rFonts w:ascii="Roboto" w:eastAsia="Times New Roman" w:hAnsi="Roboto"/>
          <w:color w:val="244061" w:themeColor="accent1" w:themeShade="80"/>
          <w:sz w:val="24"/>
          <w:szCs w:val="24"/>
          <w:lang w:eastAsia="en-GB"/>
        </w:rPr>
        <w:t xml:space="preserve">further </w:t>
      </w:r>
      <w:r w:rsidR="00A61D74" w:rsidRPr="00621893">
        <w:rPr>
          <w:rFonts w:ascii="Roboto" w:eastAsia="Times New Roman" w:hAnsi="Roboto"/>
          <w:color w:val="244061" w:themeColor="accent1" w:themeShade="80"/>
          <w:sz w:val="24"/>
          <w:szCs w:val="24"/>
          <w:lang w:eastAsia="en-GB"/>
        </w:rPr>
        <w:t xml:space="preserve">coherence and consistency of the metadata that will be </w:t>
      </w:r>
      <w:r>
        <w:rPr>
          <w:rFonts w:ascii="Roboto" w:eastAsia="Times New Roman" w:hAnsi="Roboto"/>
          <w:color w:val="244061" w:themeColor="accent1" w:themeShade="80"/>
          <w:sz w:val="24"/>
          <w:szCs w:val="24"/>
          <w:lang w:eastAsia="en-GB"/>
        </w:rPr>
        <w:t>presented alongside</w:t>
      </w:r>
      <w:r w:rsidRPr="00621893">
        <w:rPr>
          <w:rFonts w:ascii="Roboto" w:eastAsia="Times New Roman" w:hAnsi="Roboto"/>
          <w:color w:val="244061" w:themeColor="accent1" w:themeShade="80"/>
          <w:sz w:val="24"/>
          <w:szCs w:val="24"/>
          <w:lang w:eastAsia="en-GB"/>
        </w:rPr>
        <w:t xml:space="preserve"> </w:t>
      </w:r>
      <w:r w:rsidR="00A61D74" w:rsidRPr="00621893">
        <w:rPr>
          <w:rFonts w:ascii="Roboto" w:eastAsia="Times New Roman" w:hAnsi="Roboto"/>
          <w:color w:val="244061" w:themeColor="accent1" w:themeShade="80"/>
          <w:sz w:val="24"/>
          <w:szCs w:val="24"/>
          <w:lang w:eastAsia="en-GB"/>
        </w:rPr>
        <w:t xml:space="preserve">the SDG indicator database, </w:t>
      </w:r>
      <w:r>
        <w:rPr>
          <w:rFonts w:ascii="Roboto" w:eastAsia="Times New Roman" w:hAnsi="Roboto"/>
          <w:color w:val="244061" w:themeColor="accent1" w:themeShade="80"/>
          <w:sz w:val="24"/>
          <w:szCs w:val="24"/>
          <w:lang w:eastAsia="en-GB"/>
        </w:rPr>
        <w:t xml:space="preserve">we are requesting additional and </w:t>
      </w:r>
      <w:r w:rsidR="00A61D74" w:rsidRPr="00621893">
        <w:rPr>
          <w:rFonts w:ascii="Roboto" w:eastAsia="Times New Roman" w:hAnsi="Roboto"/>
          <w:color w:val="244061" w:themeColor="accent1" w:themeShade="80"/>
          <w:sz w:val="24"/>
          <w:szCs w:val="24"/>
          <w:lang w:eastAsia="en-GB"/>
        </w:rPr>
        <w:t xml:space="preserve">more uniform </w:t>
      </w:r>
      <w:r>
        <w:rPr>
          <w:rFonts w:ascii="Roboto" w:eastAsia="Times New Roman" w:hAnsi="Roboto"/>
          <w:color w:val="244061" w:themeColor="accent1" w:themeShade="80"/>
          <w:sz w:val="24"/>
          <w:szCs w:val="24"/>
          <w:lang w:eastAsia="en-GB"/>
        </w:rPr>
        <w:t xml:space="preserve">reference </w:t>
      </w:r>
      <w:r w:rsidR="00A61D74" w:rsidRPr="00621893">
        <w:rPr>
          <w:rFonts w:ascii="Roboto" w:eastAsia="Times New Roman" w:hAnsi="Roboto"/>
          <w:color w:val="244061" w:themeColor="accent1" w:themeShade="80"/>
          <w:sz w:val="24"/>
          <w:szCs w:val="24"/>
          <w:lang w:eastAsia="en-GB"/>
        </w:rPr>
        <w:t>metadata</w:t>
      </w:r>
      <w:r>
        <w:rPr>
          <w:rFonts w:ascii="Roboto" w:eastAsia="Times New Roman" w:hAnsi="Roboto"/>
          <w:color w:val="244061" w:themeColor="accent1" w:themeShade="80"/>
          <w:sz w:val="24"/>
          <w:szCs w:val="24"/>
          <w:lang w:eastAsia="en-GB"/>
        </w:rPr>
        <w:t xml:space="preserve"> on the </w:t>
      </w:r>
      <w:r w:rsidRPr="001332E0">
        <w:rPr>
          <w:rFonts w:ascii="Roboto" w:eastAsia="Times New Roman" w:hAnsi="Roboto"/>
          <w:color w:val="244061" w:themeColor="accent1" w:themeShade="80"/>
          <w:sz w:val="24"/>
          <w:szCs w:val="24"/>
          <w:lang w:eastAsia="en-GB"/>
        </w:rPr>
        <w:t>global indicators and associated data</w:t>
      </w:r>
      <w:r>
        <w:rPr>
          <w:rFonts w:ascii="Roboto" w:eastAsia="Times New Roman" w:hAnsi="Roboto"/>
          <w:color w:val="244061" w:themeColor="accent1" w:themeShade="80"/>
          <w:sz w:val="24"/>
          <w:szCs w:val="24"/>
          <w:lang w:eastAsia="en-GB"/>
        </w:rPr>
        <w:t xml:space="preserve"> that you are reporting</w:t>
      </w:r>
      <w:r w:rsidR="00A61D74" w:rsidRPr="00621893">
        <w:rPr>
          <w:rFonts w:ascii="Roboto" w:eastAsia="Times New Roman" w:hAnsi="Roboto"/>
          <w:color w:val="244061" w:themeColor="accent1" w:themeShade="80"/>
          <w:sz w:val="24"/>
          <w:szCs w:val="24"/>
          <w:lang w:eastAsia="en-GB"/>
        </w:rPr>
        <w:t xml:space="preserve">. </w:t>
      </w:r>
    </w:p>
    <w:p w14:paraId="543E9A70" w14:textId="77777777" w:rsidR="00A61D74" w:rsidRPr="00621893" w:rsidRDefault="00A61D74" w:rsidP="00B54077">
      <w:pPr>
        <w:spacing w:before="100" w:beforeAutospacing="1" w:after="100" w:afterAutospacing="1"/>
        <w:rPr>
          <w:rFonts w:ascii="Roboto" w:eastAsia="Times New Roman" w:hAnsi="Roboto"/>
          <w:color w:val="244061" w:themeColor="accent1" w:themeShade="80"/>
          <w:sz w:val="24"/>
          <w:szCs w:val="24"/>
          <w:lang w:eastAsia="en-GB"/>
        </w:rPr>
      </w:pPr>
      <w:r w:rsidRPr="00621893">
        <w:rPr>
          <w:rFonts w:ascii="Roboto" w:eastAsia="Times New Roman" w:hAnsi="Roboto"/>
          <w:color w:val="244061" w:themeColor="accent1" w:themeShade="80"/>
          <w:sz w:val="24"/>
          <w:szCs w:val="24"/>
          <w:lang w:eastAsia="en-GB"/>
        </w:rPr>
        <w:t>While we reali</w:t>
      </w:r>
      <w:r w:rsidR="001332E0">
        <w:rPr>
          <w:rFonts w:ascii="Roboto" w:eastAsia="Times New Roman" w:hAnsi="Roboto"/>
          <w:color w:val="244061" w:themeColor="accent1" w:themeShade="80"/>
          <w:sz w:val="24"/>
          <w:szCs w:val="24"/>
          <w:lang w:eastAsia="en-GB"/>
        </w:rPr>
        <w:t>s</w:t>
      </w:r>
      <w:r w:rsidRPr="00621893">
        <w:rPr>
          <w:rFonts w:ascii="Roboto" w:eastAsia="Times New Roman" w:hAnsi="Roboto"/>
          <w:color w:val="244061" w:themeColor="accent1" w:themeShade="80"/>
          <w:sz w:val="24"/>
          <w:szCs w:val="24"/>
          <w:lang w:eastAsia="en-GB"/>
        </w:rPr>
        <w:t xml:space="preserve">e  this form is </w:t>
      </w:r>
      <w:r w:rsidR="001332E0">
        <w:rPr>
          <w:rFonts w:ascii="Roboto" w:eastAsia="Times New Roman" w:hAnsi="Roboto"/>
          <w:color w:val="244061" w:themeColor="accent1" w:themeShade="80"/>
          <w:sz w:val="24"/>
          <w:szCs w:val="24"/>
          <w:lang w:eastAsia="en-GB"/>
        </w:rPr>
        <w:t>detailed</w:t>
      </w:r>
      <w:r w:rsidRPr="00621893">
        <w:rPr>
          <w:rFonts w:ascii="Roboto" w:eastAsia="Times New Roman" w:hAnsi="Roboto"/>
          <w:color w:val="244061" w:themeColor="accent1" w:themeShade="80"/>
          <w:sz w:val="24"/>
          <w:szCs w:val="24"/>
          <w:lang w:eastAsia="en-GB"/>
        </w:rPr>
        <w:t>, your willingness to provide th</w:t>
      </w:r>
      <w:r w:rsidR="001332E0">
        <w:rPr>
          <w:rFonts w:ascii="Roboto" w:eastAsia="Times New Roman" w:hAnsi="Roboto"/>
          <w:color w:val="244061" w:themeColor="accent1" w:themeShade="80"/>
          <w:sz w:val="24"/>
          <w:szCs w:val="24"/>
          <w:lang w:eastAsia="en-GB"/>
        </w:rPr>
        <w:t>is reference</w:t>
      </w:r>
      <w:r w:rsidRPr="00621893">
        <w:rPr>
          <w:rFonts w:ascii="Roboto" w:eastAsia="Times New Roman" w:hAnsi="Roboto"/>
          <w:color w:val="244061" w:themeColor="accent1" w:themeShade="80"/>
          <w:sz w:val="24"/>
          <w:szCs w:val="24"/>
          <w:lang w:eastAsia="en-GB"/>
        </w:rPr>
        <w:t xml:space="preserve"> metadata in </w:t>
      </w:r>
      <w:r w:rsidR="006C7D30">
        <w:rPr>
          <w:rFonts w:ascii="Roboto" w:eastAsia="Times New Roman" w:hAnsi="Roboto"/>
          <w:color w:val="244061" w:themeColor="accent1" w:themeShade="80"/>
          <w:sz w:val="24"/>
          <w:szCs w:val="24"/>
          <w:lang w:eastAsia="en-GB"/>
        </w:rPr>
        <w:t>a standard</w:t>
      </w:r>
      <w:r w:rsidRPr="00621893">
        <w:rPr>
          <w:rFonts w:ascii="Roboto" w:eastAsia="Times New Roman" w:hAnsi="Roboto"/>
          <w:color w:val="244061" w:themeColor="accent1" w:themeShade="80"/>
          <w:sz w:val="24"/>
          <w:szCs w:val="24"/>
          <w:lang w:eastAsia="en-GB"/>
        </w:rPr>
        <w:t xml:space="preserve"> format </w:t>
      </w:r>
      <w:r w:rsidR="001332E0">
        <w:rPr>
          <w:rFonts w:ascii="Roboto" w:eastAsia="Times New Roman" w:hAnsi="Roboto"/>
          <w:color w:val="244061" w:themeColor="accent1" w:themeShade="80"/>
          <w:sz w:val="24"/>
          <w:szCs w:val="24"/>
          <w:lang w:eastAsia="en-GB"/>
        </w:rPr>
        <w:t xml:space="preserve">will </w:t>
      </w:r>
      <w:r w:rsidR="00B54077">
        <w:rPr>
          <w:rFonts w:ascii="Roboto" w:eastAsia="Times New Roman" w:hAnsi="Roboto"/>
          <w:color w:val="244061" w:themeColor="accent1" w:themeShade="80"/>
          <w:sz w:val="24"/>
          <w:szCs w:val="24"/>
          <w:lang w:eastAsia="en-GB"/>
        </w:rPr>
        <w:t xml:space="preserve">be </w:t>
      </w:r>
      <w:r w:rsidR="001332E0">
        <w:rPr>
          <w:rFonts w:ascii="Roboto" w:eastAsia="Times New Roman" w:hAnsi="Roboto"/>
          <w:color w:val="244061" w:themeColor="accent1" w:themeShade="80"/>
          <w:sz w:val="24"/>
          <w:szCs w:val="24"/>
          <w:lang w:eastAsia="en-GB"/>
        </w:rPr>
        <w:t xml:space="preserve">vital to users </w:t>
      </w:r>
      <w:r w:rsidR="00B54077">
        <w:rPr>
          <w:rFonts w:ascii="Roboto" w:eastAsia="Times New Roman" w:hAnsi="Roboto"/>
          <w:color w:val="244061" w:themeColor="accent1" w:themeShade="80"/>
          <w:sz w:val="24"/>
          <w:szCs w:val="24"/>
          <w:lang w:eastAsia="en-GB"/>
        </w:rPr>
        <w:t xml:space="preserve">better understanding </w:t>
      </w:r>
      <w:r w:rsidR="001332E0">
        <w:rPr>
          <w:rFonts w:ascii="Roboto" w:eastAsia="Times New Roman" w:hAnsi="Roboto"/>
          <w:color w:val="244061" w:themeColor="accent1" w:themeShade="80"/>
          <w:sz w:val="24"/>
          <w:szCs w:val="24"/>
          <w:lang w:eastAsia="en-GB"/>
        </w:rPr>
        <w:t xml:space="preserve">of the </w:t>
      </w:r>
      <w:r w:rsidR="001332E0" w:rsidRPr="001332E0">
        <w:rPr>
          <w:rFonts w:ascii="Roboto" w:eastAsia="Times New Roman" w:hAnsi="Roboto"/>
          <w:color w:val="244061" w:themeColor="accent1" w:themeShade="80"/>
          <w:sz w:val="24"/>
          <w:szCs w:val="24"/>
          <w:lang w:eastAsia="en-GB"/>
        </w:rPr>
        <w:t>global indicators and associated data</w:t>
      </w:r>
      <w:r w:rsidR="001332E0">
        <w:rPr>
          <w:rFonts w:ascii="Roboto" w:eastAsia="Times New Roman" w:hAnsi="Roboto"/>
          <w:color w:val="244061" w:themeColor="accent1" w:themeShade="80"/>
          <w:sz w:val="24"/>
          <w:szCs w:val="24"/>
          <w:lang w:eastAsia="en-GB"/>
        </w:rPr>
        <w:t xml:space="preserve"> you have provided. We </w:t>
      </w:r>
      <w:r w:rsidRPr="00621893">
        <w:rPr>
          <w:rFonts w:ascii="Roboto" w:eastAsia="Times New Roman" w:hAnsi="Roboto"/>
          <w:color w:val="244061" w:themeColor="accent1" w:themeShade="80"/>
          <w:sz w:val="24"/>
          <w:szCs w:val="24"/>
          <w:lang w:eastAsia="en-GB"/>
        </w:rPr>
        <w:t xml:space="preserve">hope </w:t>
      </w:r>
      <w:r w:rsidR="006C7D30">
        <w:rPr>
          <w:rFonts w:ascii="Roboto" w:eastAsia="Times New Roman" w:hAnsi="Roboto"/>
          <w:color w:val="244061" w:themeColor="accent1" w:themeShade="80"/>
          <w:sz w:val="24"/>
          <w:szCs w:val="24"/>
          <w:lang w:eastAsia="en-GB"/>
        </w:rPr>
        <w:t>any</w:t>
      </w:r>
      <w:r w:rsidRPr="00621893">
        <w:rPr>
          <w:rFonts w:ascii="Roboto" w:eastAsia="Times New Roman" w:hAnsi="Roboto"/>
          <w:color w:val="244061" w:themeColor="accent1" w:themeShade="80"/>
          <w:sz w:val="24"/>
          <w:szCs w:val="24"/>
          <w:lang w:eastAsia="en-GB"/>
        </w:rPr>
        <w:t xml:space="preserve"> </w:t>
      </w:r>
      <w:r w:rsidR="006C7D30">
        <w:rPr>
          <w:rFonts w:ascii="Roboto" w:eastAsia="Times New Roman" w:hAnsi="Roboto"/>
          <w:color w:val="244061" w:themeColor="accent1" w:themeShade="80"/>
          <w:sz w:val="24"/>
          <w:szCs w:val="24"/>
          <w:lang w:eastAsia="en-GB"/>
        </w:rPr>
        <w:t>metadata</w:t>
      </w:r>
      <w:r w:rsidRPr="00621893">
        <w:rPr>
          <w:rFonts w:ascii="Roboto" w:eastAsia="Times New Roman" w:hAnsi="Roboto"/>
          <w:color w:val="244061" w:themeColor="accent1" w:themeShade="80"/>
          <w:sz w:val="24"/>
          <w:szCs w:val="24"/>
          <w:lang w:eastAsia="en-GB"/>
        </w:rPr>
        <w:t xml:space="preserve"> </w:t>
      </w:r>
      <w:r w:rsidR="006C7D30">
        <w:rPr>
          <w:rFonts w:ascii="Roboto" w:eastAsia="Times New Roman" w:hAnsi="Roboto"/>
          <w:color w:val="244061" w:themeColor="accent1" w:themeShade="80"/>
          <w:sz w:val="24"/>
          <w:szCs w:val="24"/>
          <w:lang w:eastAsia="en-GB"/>
        </w:rPr>
        <w:t xml:space="preserve">submitted previously </w:t>
      </w:r>
      <w:r w:rsidRPr="00621893">
        <w:rPr>
          <w:rFonts w:ascii="Roboto" w:eastAsia="Times New Roman" w:hAnsi="Roboto"/>
          <w:color w:val="244061" w:themeColor="accent1" w:themeShade="80"/>
          <w:sz w:val="24"/>
          <w:szCs w:val="24"/>
          <w:lang w:eastAsia="en-GB"/>
        </w:rPr>
        <w:t>can be copied and pasted into the relevant section</w:t>
      </w:r>
      <w:r w:rsidR="006C7D30">
        <w:rPr>
          <w:rFonts w:ascii="Roboto" w:eastAsia="Times New Roman" w:hAnsi="Roboto"/>
          <w:color w:val="244061" w:themeColor="accent1" w:themeShade="80"/>
          <w:sz w:val="24"/>
          <w:szCs w:val="24"/>
          <w:lang w:eastAsia="en-GB"/>
        </w:rPr>
        <w:t xml:space="preserve"> of this form</w:t>
      </w:r>
      <w:r w:rsidRPr="00621893">
        <w:rPr>
          <w:rFonts w:ascii="Roboto" w:eastAsia="Times New Roman" w:hAnsi="Roboto"/>
          <w:color w:val="244061" w:themeColor="accent1" w:themeShade="80"/>
          <w:sz w:val="24"/>
          <w:szCs w:val="24"/>
          <w:lang w:eastAsia="en-GB"/>
        </w:rPr>
        <w:t xml:space="preserve">. Any metadata that was previously submitted </w:t>
      </w:r>
      <w:r w:rsidR="001332E0">
        <w:rPr>
          <w:rFonts w:ascii="Roboto" w:eastAsia="Times New Roman" w:hAnsi="Roboto"/>
          <w:color w:val="244061" w:themeColor="accent1" w:themeShade="80"/>
          <w:sz w:val="24"/>
          <w:szCs w:val="24"/>
          <w:lang w:eastAsia="en-GB"/>
        </w:rPr>
        <w:t xml:space="preserve">to UNSD </w:t>
      </w:r>
      <w:r w:rsidRPr="00621893">
        <w:rPr>
          <w:rFonts w:ascii="Roboto" w:eastAsia="Times New Roman" w:hAnsi="Roboto"/>
          <w:color w:val="244061" w:themeColor="accent1" w:themeShade="80"/>
          <w:sz w:val="24"/>
          <w:szCs w:val="24"/>
          <w:lang w:eastAsia="en-GB"/>
        </w:rPr>
        <w:t xml:space="preserve">can be found at: </w:t>
      </w:r>
      <w:hyperlink r:id="rId8" w:history="1">
        <w:r w:rsidRPr="00621893">
          <w:rPr>
            <w:rFonts w:ascii="Roboto" w:eastAsia="Times New Roman" w:hAnsi="Roboto"/>
            <w:color w:val="244061" w:themeColor="accent1" w:themeShade="80"/>
            <w:sz w:val="24"/>
            <w:szCs w:val="24"/>
            <w:u w:val="single"/>
            <w:lang w:eastAsia="en-GB"/>
          </w:rPr>
          <w:t>http://unstats.un.org/sdgs/iaeg-sdgs/metadata-compilation/</w:t>
        </w:r>
      </w:hyperlink>
      <w:r w:rsidRPr="00621893">
        <w:rPr>
          <w:rFonts w:ascii="Roboto" w:eastAsia="Times New Roman" w:hAnsi="Roboto"/>
          <w:color w:val="244061" w:themeColor="accent1" w:themeShade="80"/>
          <w:sz w:val="24"/>
          <w:szCs w:val="24"/>
          <w:lang w:eastAsia="en-GB"/>
        </w:rPr>
        <w:t>.</w:t>
      </w:r>
    </w:p>
    <w:p w14:paraId="00B7A1A5" w14:textId="77777777" w:rsidR="00A61D74" w:rsidRPr="00621893" w:rsidRDefault="00A61D74" w:rsidP="006C7D30">
      <w:pPr>
        <w:pBdr>
          <w:top w:val="single" w:sz="4" w:space="1" w:color="auto"/>
          <w:left w:val="single" w:sz="4" w:space="4" w:color="auto"/>
          <w:bottom w:val="single" w:sz="4" w:space="1" w:color="auto"/>
          <w:right w:val="single" w:sz="4" w:space="4" w:color="auto"/>
        </w:pBdr>
        <w:spacing w:before="100" w:beforeAutospacing="1" w:after="100" w:afterAutospacing="1"/>
        <w:rPr>
          <w:rFonts w:ascii="Roboto" w:eastAsia="Times New Roman" w:hAnsi="Roboto"/>
          <w:color w:val="244061" w:themeColor="accent1" w:themeShade="80"/>
          <w:sz w:val="24"/>
          <w:szCs w:val="24"/>
          <w:lang w:eastAsia="en-GB"/>
        </w:rPr>
      </w:pPr>
      <w:r w:rsidRPr="00621893">
        <w:rPr>
          <w:rFonts w:ascii="Roboto" w:eastAsia="Times New Roman" w:hAnsi="Roboto"/>
          <w:color w:val="244061" w:themeColor="accent1" w:themeShade="80"/>
          <w:sz w:val="24"/>
          <w:szCs w:val="24"/>
          <w:lang w:eastAsia="en-GB"/>
        </w:rPr>
        <w:t>This form should be completed by the international agencies that provided their data for inclusion in the SDG progress report</w:t>
      </w:r>
      <w:r w:rsidR="00502DBA" w:rsidRPr="00621893">
        <w:rPr>
          <w:rFonts w:ascii="Roboto" w:eastAsia="Times New Roman" w:hAnsi="Roboto"/>
          <w:color w:val="244061" w:themeColor="accent1" w:themeShade="80"/>
          <w:sz w:val="24"/>
          <w:szCs w:val="24"/>
          <w:lang w:eastAsia="en-GB"/>
        </w:rPr>
        <w:t xml:space="preserve"> and associated database</w:t>
      </w:r>
      <w:r w:rsidRPr="00621893">
        <w:rPr>
          <w:rFonts w:ascii="Roboto" w:eastAsia="Times New Roman" w:hAnsi="Roboto"/>
          <w:color w:val="244061" w:themeColor="accent1" w:themeShade="80"/>
          <w:sz w:val="24"/>
          <w:szCs w:val="24"/>
          <w:lang w:eastAsia="en-GB"/>
        </w:rPr>
        <w:t>.</w:t>
      </w:r>
      <w:r w:rsidR="00502DBA" w:rsidRPr="00621893">
        <w:rPr>
          <w:rFonts w:ascii="Roboto" w:eastAsia="Times New Roman" w:hAnsi="Roboto"/>
          <w:color w:val="244061" w:themeColor="accent1" w:themeShade="80"/>
          <w:sz w:val="24"/>
          <w:szCs w:val="24"/>
          <w:lang w:eastAsia="en-GB"/>
        </w:rPr>
        <w:t xml:space="preserve"> Please replace the instruction text shaded in </w:t>
      </w:r>
      <w:r w:rsidR="00502DBA" w:rsidRPr="00621893">
        <w:rPr>
          <w:rFonts w:ascii="Roboto" w:eastAsia="Times New Roman" w:hAnsi="Roboto"/>
          <w:color w:val="244061" w:themeColor="accent1" w:themeShade="80"/>
          <w:sz w:val="24"/>
          <w:szCs w:val="24"/>
          <w:highlight w:val="yellow"/>
          <w:lang w:eastAsia="en-GB"/>
        </w:rPr>
        <w:t>yellow</w:t>
      </w:r>
      <w:r w:rsidR="00502DBA" w:rsidRPr="00621893">
        <w:rPr>
          <w:rFonts w:ascii="Roboto" w:eastAsia="Times New Roman" w:hAnsi="Roboto"/>
          <w:color w:val="244061" w:themeColor="accent1" w:themeShade="80"/>
          <w:sz w:val="24"/>
          <w:szCs w:val="24"/>
          <w:lang w:eastAsia="en-GB"/>
        </w:rPr>
        <w:t xml:space="preserve"> with the appropriate text describing the reference metadata for that </w:t>
      </w:r>
      <w:r w:rsidR="006C7D30">
        <w:rPr>
          <w:rFonts w:ascii="Roboto" w:eastAsia="Times New Roman" w:hAnsi="Roboto"/>
          <w:color w:val="244061" w:themeColor="accent1" w:themeShade="80"/>
          <w:sz w:val="24"/>
          <w:szCs w:val="24"/>
          <w:lang w:eastAsia="en-GB"/>
        </w:rPr>
        <w:t>section</w:t>
      </w:r>
      <w:r w:rsidR="006C7D30" w:rsidRPr="00621893">
        <w:rPr>
          <w:rFonts w:ascii="Roboto" w:eastAsia="Times New Roman" w:hAnsi="Roboto"/>
          <w:color w:val="244061" w:themeColor="accent1" w:themeShade="80"/>
          <w:sz w:val="24"/>
          <w:szCs w:val="24"/>
          <w:lang w:eastAsia="en-GB"/>
        </w:rPr>
        <w:t xml:space="preserve"> </w:t>
      </w:r>
      <w:r w:rsidR="00502DBA" w:rsidRPr="00621893">
        <w:rPr>
          <w:rFonts w:ascii="Roboto" w:eastAsia="Times New Roman" w:hAnsi="Roboto"/>
          <w:color w:val="244061" w:themeColor="accent1" w:themeShade="80"/>
          <w:sz w:val="24"/>
          <w:szCs w:val="24"/>
          <w:lang w:eastAsia="en-GB"/>
        </w:rPr>
        <w:t xml:space="preserve">(i.e. definition, rationale, etc.). </w:t>
      </w:r>
      <w:r w:rsidRPr="00621893">
        <w:rPr>
          <w:rFonts w:ascii="Roboto" w:eastAsia="Times New Roman" w:hAnsi="Roboto"/>
          <w:color w:val="244061" w:themeColor="accent1" w:themeShade="80"/>
          <w:sz w:val="24"/>
          <w:szCs w:val="24"/>
          <w:lang w:eastAsia="en-GB"/>
        </w:rPr>
        <w:t>Please try to make your responses as concise as possible while making sure to include all relevant information. For more detailed methodological information, a link can be included in the reference section</w:t>
      </w:r>
      <w:r w:rsidR="006C7D30">
        <w:rPr>
          <w:rFonts w:ascii="Roboto" w:eastAsia="Times New Roman" w:hAnsi="Roboto"/>
          <w:color w:val="244061" w:themeColor="accent1" w:themeShade="80"/>
          <w:sz w:val="24"/>
          <w:szCs w:val="24"/>
          <w:lang w:eastAsia="en-GB"/>
        </w:rPr>
        <w:t xml:space="preserve"> (see page 4)</w:t>
      </w:r>
      <w:r w:rsidRPr="00621893">
        <w:rPr>
          <w:rFonts w:ascii="Roboto" w:eastAsia="Times New Roman" w:hAnsi="Roboto"/>
          <w:color w:val="244061" w:themeColor="accent1" w:themeShade="80"/>
          <w:sz w:val="24"/>
          <w:szCs w:val="24"/>
          <w:lang w:eastAsia="en-GB"/>
        </w:rPr>
        <w:t xml:space="preserve">. </w:t>
      </w:r>
    </w:p>
    <w:p w14:paraId="1FC0DA16" w14:textId="3A507285" w:rsidR="00A61D74" w:rsidRPr="00621893" w:rsidRDefault="00A61D74" w:rsidP="00A61D74">
      <w:pPr>
        <w:spacing w:before="100" w:beforeAutospacing="1" w:after="100" w:afterAutospacing="1"/>
        <w:rPr>
          <w:rFonts w:ascii="Roboto" w:eastAsia="Times New Roman" w:hAnsi="Roboto"/>
          <w:color w:val="244061" w:themeColor="accent1" w:themeShade="80"/>
          <w:sz w:val="24"/>
          <w:szCs w:val="24"/>
          <w:lang w:eastAsia="en-GB"/>
        </w:rPr>
      </w:pPr>
      <w:r w:rsidRPr="00621893">
        <w:rPr>
          <w:rFonts w:ascii="Roboto" w:eastAsia="Times New Roman" w:hAnsi="Roboto"/>
          <w:color w:val="244061" w:themeColor="accent1" w:themeShade="80"/>
          <w:sz w:val="24"/>
          <w:szCs w:val="24"/>
          <w:lang w:eastAsia="en-GB"/>
        </w:rPr>
        <w:t xml:space="preserve">If there are any questions regarding SDG metadata or this form, please contact </w:t>
      </w:r>
      <w:r w:rsidR="008534D4">
        <w:rPr>
          <w:rFonts w:ascii="Roboto" w:eastAsia="Times New Roman" w:hAnsi="Roboto"/>
          <w:color w:val="244061" w:themeColor="accent1" w:themeShade="80"/>
          <w:sz w:val="24"/>
          <w:szCs w:val="24"/>
          <w:lang w:eastAsia="en-GB"/>
        </w:rPr>
        <w:t>Zin Lin</w:t>
      </w:r>
      <w:r w:rsidRPr="00621893">
        <w:rPr>
          <w:rFonts w:ascii="Roboto" w:eastAsia="Times New Roman" w:hAnsi="Roboto"/>
          <w:color w:val="244061" w:themeColor="accent1" w:themeShade="80"/>
          <w:sz w:val="24"/>
          <w:szCs w:val="24"/>
          <w:lang w:eastAsia="en-GB"/>
        </w:rPr>
        <w:t xml:space="preserve"> at </w:t>
      </w:r>
      <w:hyperlink r:id="rId9" w:history="1">
        <w:r w:rsidR="008534D4">
          <w:rPr>
            <w:rStyle w:val="Hyperlink"/>
            <w:rFonts w:ascii="Roboto" w:eastAsia="Times New Roman" w:hAnsi="Roboto"/>
            <w:color w:val="000080" w:themeColor="hyperlink" w:themeShade="80"/>
            <w:sz w:val="24"/>
            <w:szCs w:val="24"/>
            <w:lang w:eastAsia="en-GB"/>
          </w:rPr>
          <w:t>lin</w:t>
        </w:r>
        <w:r w:rsidR="008534D4" w:rsidRPr="00711297">
          <w:rPr>
            <w:rStyle w:val="Hyperlink"/>
            <w:rFonts w:ascii="Roboto" w:eastAsia="Times New Roman" w:hAnsi="Roboto"/>
            <w:color w:val="000080" w:themeColor="hyperlink" w:themeShade="80"/>
            <w:sz w:val="24"/>
            <w:szCs w:val="24"/>
            <w:lang w:eastAsia="en-GB"/>
          </w:rPr>
          <w:t>@un.org</w:t>
        </w:r>
      </w:hyperlink>
      <w:r w:rsidRPr="00621893">
        <w:rPr>
          <w:rFonts w:ascii="Roboto" w:eastAsia="Times New Roman" w:hAnsi="Roboto"/>
          <w:color w:val="244061" w:themeColor="accent1" w:themeShade="80"/>
          <w:sz w:val="24"/>
          <w:szCs w:val="24"/>
          <w:lang w:eastAsia="en-GB"/>
        </w:rPr>
        <w:t xml:space="preserve">. </w:t>
      </w:r>
    </w:p>
    <w:p w14:paraId="447B38BD" w14:textId="77777777" w:rsidR="00A61D74" w:rsidRDefault="00A61D74" w:rsidP="00A61D74">
      <w:pPr>
        <w:jc w:val="center"/>
        <w:rPr>
          <w:rFonts w:eastAsia="Times New Roman" w:cs="Times New Roman"/>
          <w:color w:val="333333"/>
          <w:sz w:val="21"/>
          <w:szCs w:val="21"/>
          <w:lang w:eastAsia="en-GB"/>
        </w:rPr>
      </w:pPr>
      <w:r>
        <w:rPr>
          <w:rFonts w:eastAsia="Times New Roman" w:cs="Times New Roman"/>
          <w:color w:val="333333"/>
          <w:sz w:val="21"/>
          <w:szCs w:val="21"/>
          <w:lang w:eastAsia="en-GB"/>
        </w:rPr>
        <w:br w:type="page"/>
      </w:r>
    </w:p>
    <w:p w14:paraId="463C7939" w14:textId="78A05779" w:rsidR="0058556D" w:rsidRDefault="0058556D" w:rsidP="00573C0B">
      <w:pPr>
        <w:pStyle w:val="MGTHeader"/>
      </w:pPr>
      <w:r w:rsidRPr="00573631">
        <w:lastRenderedPageBreak/>
        <w:t xml:space="preserve">Goal </w:t>
      </w:r>
      <w:r w:rsidR="00D70AD9">
        <w:t>:</w:t>
      </w:r>
      <w:r w:rsidR="00FF2128">
        <w:t xml:space="preserve"> </w:t>
      </w:r>
    </w:p>
    <w:p w14:paraId="3A48BE36" w14:textId="3EAA4D95" w:rsidR="00FF2128" w:rsidRDefault="00FF2128" w:rsidP="00573C0B">
      <w:pPr>
        <w:pStyle w:val="MGTHeader"/>
      </w:pPr>
      <w:r w:rsidRPr="00FF2128">
        <w:t>Conserve and sustainably use the oceans, seas and marine resources for sustainable development</w:t>
      </w:r>
      <w:r>
        <w:t>.</w:t>
      </w:r>
    </w:p>
    <w:p w14:paraId="266F33A2" w14:textId="77777777" w:rsidR="00FF2128" w:rsidRPr="00573631" w:rsidRDefault="00FF2128" w:rsidP="00573C0B">
      <w:pPr>
        <w:pStyle w:val="MGTHeader"/>
      </w:pPr>
    </w:p>
    <w:p w14:paraId="66EE149D" w14:textId="77777777" w:rsidR="00FF2128" w:rsidRDefault="0058556D" w:rsidP="00FF2128">
      <w:pPr>
        <w:pStyle w:val="MGTHeader"/>
      </w:pPr>
      <w:r w:rsidRPr="00573631">
        <w:t xml:space="preserve">Target: </w:t>
      </w:r>
    </w:p>
    <w:p w14:paraId="190357AD" w14:textId="294AC505" w:rsidR="0058556D" w:rsidRDefault="00FF2128" w:rsidP="00FF2128">
      <w:pPr>
        <w:pStyle w:val="MGTHeader"/>
        <w:rPr>
          <w:i/>
        </w:rPr>
      </w:pPr>
      <w:r w:rsidRPr="00FF2128">
        <w:rPr>
          <w:i/>
        </w:rPr>
        <w:t>14.a 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r>
        <w:rPr>
          <w:i/>
        </w:rPr>
        <w:t>.</w:t>
      </w:r>
    </w:p>
    <w:p w14:paraId="34751DD8" w14:textId="77777777" w:rsidR="00FF2128" w:rsidRPr="00FF2128" w:rsidRDefault="00FF2128" w:rsidP="00FF2128">
      <w:pPr>
        <w:pStyle w:val="MGTHeader"/>
      </w:pPr>
    </w:p>
    <w:p w14:paraId="60D825B7" w14:textId="77777777" w:rsidR="00FF2128" w:rsidRDefault="0058556D" w:rsidP="00FF2128">
      <w:pPr>
        <w:pStyle w:val="MGTHeader"/>
      </w:pPr>
      <w:r w:rsidRPr="00573631">
        <w:t>Indicator:</w:t>
      </w:r>
      <w:r w:rsidR="00FF2128">
        <w:t xml:space="preserve"> </w:t>
      </w:r>
    </w:p>
    <w:p w14:paraId="204D1EE6" w14:textId="5699AEEA" w:rsidR="00FF2128" w:rsidRPr="00E644A9" w:rsidRDefault="00FF2128" w:rsidP="00FF2128">
      <w:pPr>
        <w:autoSpaceDE w:val="0"/>
        <w:autoSpaceDN w:val="0"/>
        <w:adjustRightInd w:val="0"/>
        <w:spacing w:after="120" w:line="240" w:lineRule="auto"/>
        <w:rPr>
          <w:rFonts w:cs="TimesNewRomanPS-BoldMT"/>
          <w:bCs/>
        </w:rPr>
      </w:pPr>
      <w:r w:rsidRPr="00FF2128">
        <w:rPr>
          <w:rFonts w:cs="TimesNewRomanPS-BoldMT"/>
          <w:bCs/>
          <w:i/>
        </w:rPr>
        <w:t>14.a.1 Proportion of total research budget allocated to research in the field of marine technology</w:t>
      </w:r>
      <w:r>
        <w:rPr>
          <w:rFonts w:cs="TimesNewRomanPS-BoldMT"/>
          <w:bCs/>
          <w:i/>
        </w:rPr>
        <w:t>.</w:t>
      </w:r>
    </w:p>
    <w:p w14:paraId="304744C4" w14:textId="5AE50DBE" w:rsidR="0058556D" w:rsidRPr="00573631" w:rsidRDefault="0058556D" w:rsidP="00573C0B">
      <w:pPr>
        <w:pStyle w:val="MIndHeader"/>
      </w:pPr>
    </w:p>
    <w:p w14:paraId="3925E088" w14:textId="77777777" w:rsidR="0058556D" w:rsidRPr="00573631" w:rsidRDefault="0058556D" w:rsidP="00573631">
      <w:pPr>
        <w:shd w:val="clear" w:color="auto" w:fill="F5F5F5"/>
        <w:spacing w:after="0"/>
        <w:outlineLvl w:val="1"/>
        <w:rPr>
          <w:rFonts w:eastAsia="Times New Roman" w:cs="Times New Roman"/>
          <w:color w:val="1C75BC"/>
          <w:lang w:eastAsia="en-GB"/>
        </w:rPr>
      </w:pPr>
    </w:p>
    <w:p w14:paraId="7D238643" w14:textId="77777777" w:rsidR="0058556D" w:rsidRPr="00573631" w:rsidRDefault="0058556D" w:rsidP="00573C0B">
      <w:pPr>
        <w:pStyle w:val="MHeader"/>
      </w:pPr>
      <w:r w:rsidRPr="00573631">
        <w:t>Institutional information</w:t>
      </w:r>
    </w:p>
    <w:p w14:paraId="56E2B5C5" w14:textId="77777777" w:rsidR="0058556D" w:rsidRPr="00573631" w:rsidRDefault="0058556D" w:rsidP="00573631">
      <w:pPr>
        <w:shd w:val="clear" w:color="auto" w:fill="FFFFFF"/>
        <w:spacing w:after="0"/>
        <w:rPr>
          <w:rFonts w:eastAsia="Times New Roman" w:cs="Times New Roman"/>
          <w:b/>
          <w:bCs/>
          <w:color w:val="4A4A4A"/>
          <w:sz w:val="21"/>
          <w:szCs w:val="21"/>
          <w:lang w:eastAsia="en-GB"/>
        </w:rPr>
      </w:pPr>
    </w:p>
    <w:p w14:paraId="5264231A" w14:textId="77777777" w:rsidR="0058556D" w:rsidRPr="00573631" w:rsidRDefault="0058556D" w:rsidP="00573C0B">
      <w:pPr>
        <w:pStyle w:val="MSubHeader"/>
      </w:pPr>
      <w:r w:rsidRPr="00573631">
        <w:t>Organization(s):</w:t>
      </w:r>
    </w:p>
    <w:p w14:paraId="66A382CC" w14:textId="60B80C58" w:rsidR="0058556D" w:rsidRPr="00573631" w:rsidRDefault="00FF2128" w:rsidP="00573C0B">
      <w:pPr>
        <w:pStyle w:val="MText"/>
      </w:pPr>
      <w:r>
        <w:t>Intergovernmental Oceanographic Commission of UNESCO</w:t>
      </w:r>
      <w:bookmarkStart w:id="0" w:name="_GoBack"/>
      <w:bookmarkEnd w:id="0"/>
    </w:p>
    <w:p w14:paraId="29DDAA98" w14:textId="77777777" w:rsidR="0058556D" w:rsidRDefault="0058556D" w:rsidP="00573631">
      <w:pPr>
        <w:shd w:val="clear" w:color="auto" w:fill="FFFFFF"/>
        <w:spacing w:after="0"/>
        <w:rPr>
          <w:rFonts w:eastAsia="Times New Roman" w:cs="Times New Roman"/>
          <w:color w:val="4A4A4A"/>
          <w:sz w:val="21"/>
          <w:szCs w:val="21"/>
          <w:lang w:eastAsia="en-GB"/>
        </w:rPr>
      </w:pPr>
    </w:p>
    <w:p w14:paraId="37E664EF" w14:textId="77777777" w:rsidR="00621893" w:rsidRDefault="00621893" w:rsidP="00621893">
      <w:pPr>
        <w:shd w:val="clear" w:color="auto" w:fill="FFFFFF"/>
        <w:spacing w:after="0"/>
        <w:rPr>
          <w:rFonts w:eastAsia="Times New Roman" w:cs="Times New Roman"/>
          <w:b/>
          <w:bCs/>
          <w:color w:val="4A4A4A"/>
          <w:sz w:val="21"/>
          <w:szCs w:val="21"/>
          <w:lang w:eastAsia="en-GB"/>
        </w:rPr>
      </w:pPr>
      <w:r>
        <w:rPr>
          <w:rFonts w:eastAsia="Times New Roman" w:cs="Times New Roman"/>
          <w:b/>
          <w:bCs/>
          <w:color w:val="4A4A4A"/>
          <w:sz w:val="21"/>
          <w:szCs w:val="21"/>
          <w:lang w:eastAsia="en-GB"/>
        </w:rPr>
        <w:t>Contact person(s</w:t>
      </w:r>
      <w:r w:rsidRPr="00573631">
        <w:rPr>
          <w:rFonts w:eastAsia="Times New Roman" w:cs="Times New Roman"/>
          <w:b/>
          <w:bCs/>
          <w:color w:val="4A4A4A"/>
          <w:sz w:val="21"/>
          <w:szCs w:val="21"/>
          <w:lang w:eastAsia="en-GB"/>
        </w:rPr>
        <w:t>):</w:t>
      </w:r>
    </w:p>
    <w:p w14:paraId="1CBAE4E4" w14:textId="4C293D5D" w:rsidR="00621893" w:rsidRDefault="00FF2128" w:rsidP="00621893">
      <w:p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 xml:space="preserve">Julian Barbiere </w:t>
      </w:r>
    </w:p>
    <w:p w14:paraId="6523FE76" w14:textId="663A2212" w:rsidR="00FF2128" w:rsidRDefault="00FF2128" w:rsidP="00621893">
      <w:pPr>
        <w:shd w:val="clear" w:color="auto" w:fill="FFFFFF"/>
        <w:spacing w:after="0"/>
        <w:rPr>
          <w:rFonts w:eastAsia="Times New Roman" w:cs="Times New Roman"/>
          <w:b/>
          <w:bCs/>
          <w:color w:val="4A4A4A"/>
          <w:sz w:val="21"/>
          <w:szCs w:val="21"/>
          <w:lang w:eastAsia="en-GB"/>
        </w:rPr>
      </w:pPr>
      <w:r>
        <w:rPr>
          <w:rFonts w:eastAsia="Times New Roman" w:cs="Times New Roman"/>
          <w:color w:val="4A4A4A"/>
          <w:sz w:val="21"/>
          <w:szCs w:val="21"/>
          <w:lang w:eastAsia="en-GB"/>
        </w:rPr>
        <w:t>Kirsten Isensee</w:t>
      </w:r>
    </w:p>
    <w:p w14:paraId="48EBBDEB" w14:textId="77777777" w:rsidR="00621893" w:rsidRDefault="00621893" w:rsidP="00621893">
      <w:pPr>
        <w:shd w:val="clear" w:color="auto" w:fill="FFFFFF"/>
        <w:spacing w:after="0"/>
        <w:rPr>
          <w:rFonts w:eastAsia="Times New Roman" w:cs="Times New Roman"/>
          <w:b/>
          <w:bCs/>
          <w:color w:val="4A4A4A"/>
          <w:sz w:val="21"/>
          <w:szCs w:val="21"/>
          <w:lang w:eastAsia="en-GB"/>
        </w:rPr>
      </w:pPr>
    </w:p>
    <w:p w14:paraId="16E1B7F7" w14:textId="77777777" w:rsidR="00621893" w:rsidRPr="00573631" w:rsidRDefault="00621893" w:rsidP="00621893">
      <w:pPr>
        <w:shd w:val="clear" w:color="auto" w:fill="FFFFFF"/>
        <w:spacing w:after="0"/>
        <w:rPr>
          <w:rFonts w:eastAsia="Times New Roman" w:cs="Times New Roman"/>
          <w:color w:val="4A4A4A"/>
          <w:sz w:val="21"/>
          <w:szCs w:val="21"/>
          <w:lang w:eastAsia="en-GB"/>
        </w:rPr>
      </w:pPr>
      <w:r>
        <w:rPr>
          <w:rFonts w:eastAsia="Times New Roman" w:cs="Times New Roman"/>
          <w:b/>
          <w:bCs/>
          <w:color w:val="4A4A4A"/>
          <w:sz w:val="21"/>
          <w:szCs w:val="21"/>
          <w:lang w:eastAsia="en-GB"/>
        </w:rPr>
        <w:t>Email address (for internal use only)</w:t>
      </w:r>
    </w:p>
    <w:p w14:paraId="6C5B3F2B" w14:textId="5DFABC1F" w:rsidR="00621893" w:rsidRDefault="007C500D" w:rsidP="00573631">
      <w:pPr>
        <w:shd w:val="clear" w:color="auto" w:fill="FFFFFF"/>
        <w:spacing w:after="0"/>
        <w:rPr>
          <w:rFonts w:eastAsia="Times New Roman" w:cs="Times New Roman"/>
          <w:color w:val="4A4A4A"/>
          <w:sz w:val="21"/>
          <w:szCs w:val="21"/>
          <w:lang w:eastAsia="en-GB"/>
        </w:rPr>
      </w:pPr>
      <w:hyperlink r:id="rId10" w:history="1">
        <w:r w:rsidR="00FF2128" w:rsidRPr="006D04C9">
          <w:rPr>
            <w:rStyle w:val="Hyperlink"/>
            <w:rFonts w:eastAsia="Times New Roman" w:cs="Times New Roman"/>
            <w:sz w:val="21"/>
            <w:szCs w:val="21"/>
            <w:lang w:eastAsia="en-GB"/>
          </w:rPr>
          <w:t>j.barbiere@unesco.org</w:t>
        </w:r>
      </w:hyperlink>
    </w:p>
    <w:p w14:paraId="3D0C0D76" w14:textId="0B02E8B7" w:rsidR="00FF2128" w:rsidRDefault="007C500D" w:rsidP="00573631">
      <w:pPr>
        <w:shd w:val="clear" w:color="auto" w:fill="FFFFFF"/>
        <w:spacing w:after="0"/>
        <w:rPr>
          <w:rFonts w:eastAsia="Times New Roman" w:cs="Times New Roman"/>
          <w:color w:val="4A4A4A"/>
          <w:sz w:val="21"/>
          <w:szCs w:val="21"/>
          <w:lang w:eastAsia="en-GB"/>
        </w:rPr>
      </w:pPr>
      <w:hyperlink r:id="rId11" w:history="1">
        <w:r w:rsidR="00FF2128" w:rsidRPr="006D04C9">
          <w:rPr>
            <w:rStyle w:val="Hyperlink"/>
            <w:rFonts w:eastAsia="Times New Roman" w:cs="Times New Roman"/>
            <w:sz w:val="21"/>
            <w:szCs w:val="21"/>
            <w:lang w:eastAsia="en-GB"/>
          </w:rPr>
          <w:t>k.isensee@unesco.org</w:t>
        </w:r>
      </w:hyperlink>
      <w:r w:rsidR="00FF2128">
        <w:rPr>
          <w:rFonts w:eastAsia="Times New Roman" w:cs="Times New Roman"/>
          <w:color w:val="4A4A4A"/>
          <w:sz w:val="21"/>
          <w:szCs w:val="21"/>
          <w:lang w:eastAsia="en-GB"/>
        </w:rPr>
        <w:t xml:space="preserve"> </w:t>
      </w:r>
    </w:p>
    <w:p w14:paraId="0393368E" w14:textId="77777777" w:rsidR="00621893" w:rsidRPr="00573631" w:rsidRDefault="00621893" w:rsidP="00573631">
      <w:pPr>
        <w:shd w:val="clear" w:color="auto" w:fill="FFFFFF"/>
        <w:spacing w:after="0"/>
        <w:rPr>
          <w:rFonts w:eastAsia="Times New Roman" w:cs="Times New Roman"/>
          <w:color w:val="4A4A4A"/>
          <w:sz w:val="21"/>
          <w:szCs w:val="21"/>
          <w:lang w:eastAsia="en-GB"/>
        </w:rPr>
      </w:pPr>
    </w:p>
    <w:p w14:paraId="41A0A8A6" w14:textId="77777777" w:rsidR="0058556D" w:rsidRPr="00573631" w:rsidRDefault="0058556D" w:rsidP="00573631">
      <w:pPr>
        <w:pBdr>
          <w:bottom w:val="single" w:sz="12" w:space="4" w:color="DDDDDD"/>
        </w:pBdr>
        <w:shd w:val="clear" w:color="auto" w:fill="FFFFFF"/>
        <w:spacing w:after="0"/>
        <w:outlineLvl w:val="2"/>
        <w:rPr>
          <w:rFonts w:eastAsia="Times New Roman" w:cs="Times New Roman"/>
          <w:color w:val="1C75BC"/>
          <w:sz w:val="36"/>
          <w:szCs w:val="36"/>
          <w:lang w:eastAsia="en-GB"/>
        </w:rPr>
      </w:pPr>
      <w:r w:rsidRPr="00573631">
        <w:rPr>
          <w:rFonts w:eastAsia="Times New Roman" w:cs="Times New Roman"/>
          <w:color w:val="1C75BC"/>
          <w:sz w:val="36"/>
          <w:szCs w:val="36"/>
          <w:lang w:eastAsia="en-GB"/>
        </w:rPr>
        <w:t>Concepts and definitions</w:t>
      </w:r>
    </w:p>
    <w:p w14:paraId="4B72B196" w14:textId="77777777" w:rsidR="0058556D" w:rsidRPr="00573631" w:rsidRDefault="0058556D" w:rsidP="00573631">
      <w:pPr>
        <w:shd w:val="clear" w:color="auto" w:fill="FFFFFF"/>
        <w:spacing w:after="0"/>
        <w:rPr>
          <w:rFonts w:eastAsia="Times New Roman" w:cs="Times New Roman"/>
          <w:b/>
          <w:bCs/>
          <w:color w:val="4A4A4A"/>
          <w:sz w:val="21"/>
          <w:szCs w:val="21"/>
          <w:lang w:eastAsia="en-GB"/>
        </w:rPr>
      </w:pPr>
    </w:p>
    <w:p w14:paraId="0A1393B3"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Definition:</w:t>
      </w:r>
    </w:p>
    <w:p w14:paraId="1A16BB6A" w14:textId="77777777" w:rsidR="008E71A1" w:rsidRPr="008E71A1" w:rsidRDefault="008E71A1" w:rsidP="008E71A1">
      <w:pPr>
        <w:shd w:val="clear" w:color="auto" w:fill="FFFFFF"/>
        <w:spacing w:after="0"/>
        <w:rPr>
          <w:rFonts w:eastAsia="Times New Roman" w:cs="Times New Roman"/>
          <w:color w:val="4A4A4A"/>
          <w:sz w:val="21"/>
          <w:szCs w:val="21"/>
          <w:lang w:eastAsia="en-GB"/>
        </w:rPr>
      </w:pPr>
      <w:r w:rsidRPr="008E71A1">
        <w:rPr>
          <w:rFonts w:eastAsia="Times New Roman" w:cs="Times New Roman"/>
          <w:color w:val="4A4A4A"/>
          <w:sz w:val="21"/>
          <w:szCs w:val="21"/>
          <w:lang w:eastAsia="en-GB"/>
        </w:rPr>
        <w:t xml:space="preserve">Definitions and mechanisms used in the development of the SDG indicator 14.a.1 are based on the IOC Criteria and Guidelines on Transfer of Marine Technology  and are further explained in the Global Ocean Science Report (GOSR) . </w:t>
      </w:r>
    </w:p>
    <w:p w14:paraId="75209145" w14:textId="77777777" w:rsidR="008E71A1" w:rsidRPr="008E71A1" w:rsidRDefault="008E71A1" w:rsidP="008E71A1">
      <w:pPr>
        <w:shd w:val="clear" w:color="auto" w:fill="FFFFFF"/>
        <w:spacing w:after="0"/>
        <w:rPr>
          <w:rFonts w:eastAsia="Times New Roman" w:cs="Times New Roman"/>
          <w:color w:val="4A4A4A"/>
          <w:sz w:val="21"/>
          <w:szCs w:val="21"/>
          <w:lang w:eastAsia="en-GB"/>
        </w:rPr>
      </w:pPr>
    </w:p>
    <w:p w14:paraId="7D71F402" w14:textId="77777777" w:rsidR="008E71A1" w:rsidRPr="008E71A1" w:rsidRDefault="008E71A1" w:rsidP="008E71A1">
      <w:pPr>
        <w:shd w:val="clear" w:color="auto" w:fill="FFFFFF"/>
        <w:spacing w:after="0"/>
        <w:rPr>
          <w:rFonts w:eastAsia="Times New Roman" w:cs="Times New Roman"/>
          <w:color w:val="4A4A4A"/>
          <w:sz w:val="21"/>
          <w:szCs w:val="21"/>
          <w:lang w:eastAsia="en-GB"/>
        </w:rPr>
      </w:pPr>
      <w:r w:rsidRPr="008E71A1">
        <w:rPr>
          <w:rFonts w:eastAsia="Times New Roman" w:cs="Times New Roman"/>
          <w:color w:val="4A4A4A"/>
          <w:sz w:val="21"/>
          <w:szCs w:val="21"/>
          <w:lang w:eastAsia="en-GB"/>
        </w:rPr>
        <w:t xml:space="preserve">Marine technology as used in the indicator and as defined in the criteria and guidelines refers to instruments, equipment, vessels, processes and methodologies required to produce and use knowledge to improve the study and understanding of the nature and resources of the ocean and coastal areas. Toward this end, marine technology may include any of the following components: </w:t>
      </w:r>
    </w:p>
    <w:p w14:paraId="17AAD8F4" w14:textId="77777777" w:rsidR="008E71A1" w:rsidRPr="008E71A1" w:rsidRDefault="008E71A1" w:rsidP="008E71A1">
      <w:pPr>
        <w:shd w:val="clear" w:color="auto" w:fill="FFFFFF"/>
        <w:spacing w:after="0"/>
        <w:rPr>
          <w:rFonts w:eastAsia="Times New Roman" w:cs="Times New Roman"/>
          <w:color w:val="4A4A4A"/>
          <w:sz w:val="21"/>
          <w:szCs w:val="21"/>
          <w:lang w:eastAsia="en-GB"/>
        </w:rPr>
      </w:pPr>
      <w:r w:rsidRPr="008E71A1">
        <w:rPr>
          <w:rFonts w:eastAsia="Times New Roman" w:cs="Times New Roman"/>
          <w:color w:val="4A4A4A"/>
          <w:sz w:val="21"/>
          <w:szCs w:val="21"/>
          <w:lang w:eastAsia="en-GB"/>
        </w:rPr>
        <w:t xml:space="preserve">a) Information and data, in a user-friendly format, on marine sciences and related marine operations and services; b) Manuals, guidelines, criteria, standards, reference materials c) Sampling and methodology equipment (e.g., for water, geological, biological, chemical samples); d) Observation facilities and equipment (e.g. remote sensing equipment, buoys, tide gauges, shipboard and other means of ocean observation); e) Equipment for in situ and laboratory observations, analysis and experimentation; f) Computer and computer software, including models and modelling techniques; g) Expertise, knowledge, </w:t>
      </w:r>
      <w:r w:rsidRPr="008E71A1">
        <w:rPr>
          <w:rFonts w:eastAsia="Times New Roman" w:cs="Times New Roman"/>
          <w:color w:val="4A4A4A"/>
          <w:sz w:val="21"/>
          <w:szCs w:val="21"/>
          <w:lang w:eastAsia="en-GB"/>
        </w:rPr>
        <w:lastRenderedPageBreak/>
        <w:t xml:space="preserve">skills, technical/scientific/legal know-how and analytical methods related to marine scientific research and observation.  </w:t>
      </w:r>
    </w:p>
    <w:p w14:paraId="2C15E317" w14:textId="63CA0941" w:rsidR="0058556D" w:rsidRDefault="008E71A1" w:rsidP="008E71A1">
      <w:pPr>
        <w:shd w:val="clear" w:color="auto" w:fill="FFFFFF"/>
        <w:spacing w:after="0"/>
        <w:rPr>
          <w:rFonts w:eastAsia="Times New Roman" w:cs="Times New Roman"/>
          <w:color w:val="4A4A4A"/>
          <w:sz w:val="21"/>
          <w:szCs w:val="21"/>
          <w:lang w:eastAsia="en-GB"/>
        </w:rPr>
      </w:pPr>
      <w:r w:rsidRPr="008E71A1">
        <w:rPr>
          <w:rFonts w:eastAsia="Times New Roman" w:cs="Times New Roman"/>
          <w:color w:val="4A4A4A"/>
          <w:sz w:val="21"/>
          <w:szCs w:val="21"/>
          <w:lang w:eastAsia="en-GB"/>
        </w:rPr>
        <w:t>This indicator shows the annual national governmental research budget in the field of marine technology relative to the national governmental research and development budget in general.</w:t>
      </w:r>
    </w:p>
    <w:p w14:paraId="58D1DD20" w14:textId="6B59A6CA" w:rsidR="008E71A1" w:rsidRPr="008E71A1" w:rsidRDefault="008E71A1" w:rsidP="008E71A1">
      <w:p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 xml:space="preserve">Unit: </w:t>
      </w:r>
      <w:r w:rsidRPr="008E71A1">
        <w:rPr>
          <w:rFonts w:eastAsia="Times New Roman" w:cs="Times New Roman"/>
          <w:color w:val="4A4A4A"/>
          <w:sz w:val="21"/>
          <w:szCs w:val="21"/>
          <w:lang w:eastAsia="en-GB"/>
        </w:rPr>
        <w:t>percentage; raw data in national currency. The proportion can be calculated, and if needed, data can be converted by the international agency into USD.</w:t>
      </w:r>
    </w:p>
    <w:p w14:paraId="5EB5B183" w14:textId="77777777" w:rsidR="0058556D" w:rsidRPr="00573631" w:rsidRDefault="0058556D" w:rsidP="00573631">
      <w:pPr>
        <w:shd w:val="clear" w:color="auto" w:fill="FFFFFF"/>
        <w:spacing w:after="0"/>
        <w:rPr>
          <w:rFonts w:eastAsia="Times New Roman" w:cs="Times New Roman"/>
          <w:color w:val="4A4A4A"/>
          <w:sz w:val="21"/>
          <w:szCs w:val="21"/>
          <w:lang w:eastAsia="en-GB"/>
        </w:rPr>
      </w:pPr>
    </w:p>
    <w:p w14:paraId="7B67C55A"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Rationale:</w:t>
      </w:r>
    </w:p>
    <w:p w14:paraId="427E227B" w14:textId="77777777" w:rsidR="008E71A1" w:rsidRPr="008E71A1" w:rsidRDefault="008E71A1" w:rsidP="008E71A1">
      <w:pPr>
        <w:shd w:val="clear" w:color="auto" w:fill="FFFFFF"/>
        <w:spacing w:after="0"/>
        <w:rPr>
          <w:rFonts w:eastAsia="Times New Roman" w:cs="Times New Roman"/>
          <w:color w:val="4A4A4A"/>
          <w:sz w:val="21"/>
          <w:szCs w:val="21"/>
          <w:lang w:eastAsia="en-GB"/>
        </w:rPr>
      </w:pPr>
      <w:r w:rsidRPr="008E71A1">
        <w:rPr>
          <w:rFonts w:eastAsia="Times New Roman" w:cs="Times New Roman"/>
          <w:color w:val="4A4A4A"/>
          <w:sz w:val="21"/>
          <w:szCs w:val="21"/>
          <w:lang w:eastAsia="en-GB"/>
        </w:rPr>
        <w:t>Sustained investment in research and development (R&amp;D), including ocean research, remains essential to advance knowledge and to develop new technology needed to support modern economies. The ocean economy yields various benefits in terms of employment, revenues and innovation in many domains. Its current developments are largely based on decades of science and R&amp;D investments by governments around the world. Baseline information on ocean science funding, as delivered by the indicator 14.a.1 can be used as a starting point for more directed, tailored investment and new capacity development strategies, and to support the case for ensuring maximum impact of ocean research, for example through marine technology and knowledge transfer from government-funded marine and maritime R&amp;D projects.</w:t>
      </w:r>
    </w:p>
    <w:p w14:paraId="60152BCC" w14:textId="463CC9F6" w:rsidR="0058556D" w:rsidRPr="00DF2D80" w:rsidRDefault="008E71A1" w:rsidP="008E71A1">
      <w:pPr>
        <w:shd w:val="clear" w:color="auto" w:fill="FFFFFF"/>
        <w:spacing w:after="0"/>
        <w:rPr>
          <w:rFonts w:eastAsia="Times New Roman" w:cs="Times New Roman"/>
          <w:color w:val="4A4A4A"/>
          <w:sz w:val="21"/>
          <w:szCs w:val="21"/>
          <w:lang w:val="en-US" w:eastAsia="en-GB"/>
        </w:rPr>
      </w:pPr>
      <w:r w:rsidRPr="008E71A1">
        <w:rPr>
          <w:rFonts w:eastAsia="Times New Roman" w:cs="Times New Roman"/>
          <w:color w:val="4A4A4A"/>
          <w:sz w:val="21"/>
          <w:szCs w:val="21"/>
          <w:lang w:eastAsia="en-GB"/>
        </w:rPr>
        <w:t>Annual (2009-2013) baseline information for 24 countries is presented in the GOSR</w:t>
      </w:r>
      <w:r>
        <w:rPr>
          <w:rFonts w:eastAsia="Times New Roman" w:cs="Times New Roman"/>
          <w:color w:val="4A4A4A"/>
          <w:sz w:val="21"/>
          <w:szCs w:val="21"/>
          <w:lang w:eastAsia="en-GB"/>
        </w:rPr>
        <w:t xml:space="preserve"> (</w:t>
      </w:r>
      <w:r w:rsidRPr="008E71A1">
        <w:rPr>
          <w:rFonts w:eastAsia="Times New Roman" w:cs="Times New Roman"/>
          <w:color w:val="4A4A4A"/>
          <w:sz w:val="21"/>
          <w:szCs w:val="21"/>
          <w:lang w:eastAsia="en-GB"/>
        </w:rPr>
        <w:t>Isensee, K., Horn, L. and Schaaper, M. 2017. The funding for ocean science. In: In: IOC</w:t>
      </w:r>
      <w:r w:rsidR="007378A3">
        <w:rPr>
          <w:rFonts w:eastAsia="Times New Roman" w:cs="Times New Roman"/>
          <w:color w:val="4A4A4A"/>
          <w:sz w:val="21"/>
          <w:szCs w:val="21"/>
          <w:lang w:eastAsia="en-GB"/>
        </w:rPr>
        <w:t xml:space="preserve"> </w:t>
      </w:r>
      <w:r w:rsidRPr="008E71A1">
        <w:rPr>
          <w:rFonts w:eastAsia="Times New Roman" w:cs="Times New Roman"/>
          <w:color w:val="4A4A4A"/>
          <w:sz w:val="21"/>
          <w:szCs w:val="21"/>
          <w:lang w:eastAsia="en-GB"/>
        </w:rPr>
        <w:t>UNESCO,</w:t>
      </w:r>
      <w:r>
        <w:rPr>
          <w:rFonts w:eastAsia="Times New Roman" w:cs="Times New Roman"/>
          <w:color w:val="4A4A4A"/>
          <w:sz w:val="21"/>
          <w:szCs w:val="21"/>
          <w:lang w:eastAsia="en-GB"/>
        </w:rPr>
        <w:t xml:space="preserve"> </w:t>
      </w:r>
      <w:r w:rsidRPr="008E71A1">
        <w:rPr>
          <w:rFonts w:eastAsia="Times New Roman" w:cs="Times New Roman"/>
          <w:color w:val="4A4A4A"/>
          <w:sz w:val="21"/>
          <w:szCs w:val="21"/>
          <w:lang w:eastAsia="en-GB"/>
        </w:rPr>
        <w:t>Global Ocean Science Report—The current status of ocean science around the</w:t>
      </w:r>
      <w:r>
        <w:rPr>
          <w:rFonts w:eastAsia="Times New Roman" w:cs="Times New Roman"/>
          <w:color w:val="4A4A4A"/>
          <w:sz w:val="21"/>
          <w:szCs w:val="21"/>
          <w:lang w:eastAsia="en-GB"/>
        </w:rPr>
        <w:t xml:space="preserve"> </w:t>
      </w:r>
      <w:r w:rsidRPr="008E71A1">
        <w:rPr>
          <w:rFonts w:eastAsia="Times New Roman" w:cs="Times New Roman"/>
          <w:color w:val="4A4A4A"/>
          <w:sz w:val="21"/>
          <w:szCs w:val="21"/>
          <w:lang w:val="en-US" w:eastAsia="en-GB"/>
        </w:rPr>
        <w:t xml:space="preserve">world. </w:t>
      </w:r>
      <w:r w:rsidRPr="00DF2D80">
        <w:rPr>
          <w:rFonts w:eastAsia="Times New Roman" w:cs="Times New Roman"/>
          <w:color w:val="4A4A4A"/>
          <w:sz w:val="21"/>
          <w:szCs w:val="21"/>
          <w:lang w:val="en-US" w:eastAsia="en-GB"/>
        </w:rPr>
        <w:t xml:space="preserve">L. Valdés et al. (eds). Paris, UNESCO, pp. 80–97). </w:t>
      </w:r>
    </w:p>
    <w:p w14:paraId="551CA041" w14:textId="77777777" w:rsidR="007378A3" w:rsidRPr="00DF2D80" w:rsidRDefault="007378A3" w:rsidP="008E71A1">
      <w:pPr>
        <w:shd w:val="clear" w:color="auto" w:fill="FFFFFF"/>
        <w:spacing w:after="0"/>
        <w:rPr>
          <w:rFonts w:eastAsia="Times New Roman" w:cs="Times New Roman"/>
          <w:color w:val="4A4A4A"/>
          <w:sz w:val="21"/>
          <w:szCs w:val="21"/>
          <w:lang w:val="en-US" w:eastAsia="en-GB"/>
        </w:rPr>
      </w:pPr>
    </w:p>
    <w:p w14:paraId="273E1D4F"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Concepts:</w:t>
      </w:r>
    </w:p>
    <w:p w14:paraId="344B6838" w14:textId="12824D1C" w:rsidR="001475B6" w:rsidRPr="001D0A61" w:rsidRDefault="00DF2D80" w:rsidP="00573631">
      <w:pPr>
        <w:shd w:val="clear" w:color="auto" w:fill="FFFFFF"/>
        <w:spacing w:after="0"/>
        <w:rPr>
          <w:rFonts w:eastAsia="Times New Roman" w:cs="Times New Roman"/>
          <w:color w:val="4A4A4A"/>
          <w:sz w:val="21"/>
          <w:szCs w:val="21"/>
          <w:lang w:eastAsia="en-GB"/>
        </w:rPr>
      </w:pPr>
      <w:r w:rsidRPr="001D0A61">
        <w:rPr>
          <w:rFonts w:eastAsia="Times New Roman" w:cs="Times New Roman"/>
          <w:color w:val="4A4A4A"/>
          <w:sz w:val="21"/>
          <w:szCs w:val="21"/>
          <w:lang w:eastAsia="en-GB"/>
        </w:rPr>
        <w:t>The concepts used for the definition and calculation of the indicator 14.a.1 are based on similar concepts used in the UNESCO Science Report (2010, 2015).These reports present GERD data (gross domestic expenditure on research and experimental development) as a share of GDP (gross domestic product) and further provide the R&amp;D (research and development) expenditure by sector of performance</w:t>
      </w:r>
      <w:r w:rsidR="001475B6" w:rsidRPr="001D0A61">
        <w:rPr>
          <w:rFonts w:eastAsia="Times New Roman" w:cs="Times New Roman"/>
          <w:color w:val="4A4A4A"/>
          <w:sz w:val="21"/>
          <w:szCs w:val="21"/>
          <w:lang w:eastAsia="en-GB"/>
        </w:rPr>
        <w:t xml:space="preserve"> in % (Table S2 in the 2015 report). In addition UIS publishes</w:t>
      </w:r>
      <w:r w:rsidR="001D0A61" w:rsidRPr="001D0A61">
        <w:rPr>
          <w:rFonts w:eastAsia="Times New Roman" w:cs="Times New Roman"/>
          <w:color w:val="4A4A4A"/>
          <w:sz w:val="21"/>
          <w:szCs w:val="21"/>
          <w:lang w:eastAsia="en-GB"/>
        </w:rPr>
        <w:t xml:space="preserve"> science field specific</w:t>
      </w:r>
      <w:r w:rsidR="001475B6" w:rsidRPr="001D0A61">
        <w:rPr>
          <w:rFonts w:eastAsia="Times New Roman" w:cs="Times New Roman"/>
          <w:color w:val="4A4A4A"/>
          <w:sz w:val="21"/>
          <w:szCs w:val="21"/>
          <w:lang w:eastAsia="en-GB"/>
        </w:rPr>
        <w:t xml:space="preserve"> R&amp;D, e.g. natural science (http://data.uis.unesco.org/).</w:t>
      </w:r>
    </w:p>
    <w:p w14:paraId="644C5582" w14:textId="5F794CC4" w:rsidR="001475B6" w:rsidRPr="001D0A61" w:rsidRDefault="001475B6" w:rsidP="00573631">
      <w:pPr>
        <w:shd w:val="clear" w:color="auto" w:fill="FFFFFF"/>
        <w:spacing w:after="0"/>
        <w:rPr>
          <w:rFonts w:eastAsia="Times New Roman" w:cs="Times New Roman"/>
          <w:color w:val="4A4A4A"/>
          <w:sz w:val="21"/>
          <w:szCs w:val="21"/>
          <w:lang w:eastAsia="en-GB"/>
        </w:rPr>
      </w:pPr>
    </w:p>
    <w:p w14:paraId="4B82F4A9" w14:textId="5FCACF7E" w:rsidR="001475B6" w:rsidRPr="001D0A61" w:rsidRDefault="001475B6" w:rsidP="00573631">
      <w:pPr>
        <w:shd w:val="clear" w:color="auto" w:fill="FFFFFF"/>
        <w:spacing w:after="0"/>
        <w:rPr>
          <w:rFonts w:eastAsia="Times New Roman" w:cs="Times New Roman"/>
          <w:color w:val="4A4A4A"/>
          <w:sz w:val="21"/>
          <w:szCs w:val="21"/>
          <w:lang w:eastAsia="en-GB"/>
        </w:rPr>
      </w:pPr>
      <w:r w:rsidRPr="001D0A61">
        <w:rPr>
          <w:rFonts w:eastAsia="Times New Roman" w:cs="Times New Roman"/>
          <w:color w:val="4A4A4A"/>
          <w:sz w:val="21"/>
          <w:szCs w:val="21"/>
          <w:lang w:eastAsia="en-GB"/>
        </w:rPr>
        <w:t xml:space="preserve">The definitions and classifications used to collect R&amp;D data are based on the </w:t>
      </w:r>
      <w:r w:rsidR="003A5E30" w:rsidRPr="001D0A61">
        <w:rPr>
          <w:rFonts w:eastAsia="Times New Roman" w:cs="Times New Roman"/>
          <w:color w:val="4A4A4A"/>
          <w:sz w:val="21"/>
          <w:szCs w:val="21"/>
          <w:lang w:eastAsia="en-GB"/>
        </w:rPr>
        <w:t>‘</w:t>
      </w:r>
      <w:r w:rsidRPr="001D0A61">
        <w:rPr>
          <w:rFonts w:eastAsia="Times New Roman" w:cs="Times New Roman"/>
          <w:color w:val="4A4A4A"/>
          <w:sz w:val="21"/>
          <w:szCs w:val="21"/>
          <w:lang w:eastAsia="en-GB"/>
        </w:rPr>
        <w:t>Frascati M</w:t>
      </w:r>
      <w:r w:rsidR="003A5E30" w:rsidRPr="001D0A61">
        <w:rPr>
          <w:rFonts w:eastAsia="Times New Roman" w:cs="Times New Roman"/>
          <w:color w:val="4A4A4A"/>
          <w:sz w:val="21"/>
          <w:szCs w:val="21"/>
          <w:lang w:eastAsia="en-GB"/>
        </w:rPr>
        <w:t>a</w:t>
      </w:r>
      <w:r w:rsidRPr="001D0A61">
        <w:rPr>
          <w:rFonts w:eastAsia="Times New Roman" w:cs="Times New Roman"/>
          <w:color w:val="4A4A4A"/>
          <w:sz w:val="21"/>
          <w:szCs w:val="21"/>
          <w:lang w:eastAsia="en-GB"/>
        </w:rPr>
        <w:t>naual: Proposed Standard Practi</w:t>
      </w:r>
      <w:r w:rsidR="003A5E30" w:rsidRPr="001D0A61">
        <w:rPr>
          <w:rFonts w:eastAsia="Times New Roman" w:cs="Times New Roman"/>
          <w:color w:val="4A4A4A"/>
          <w:sz w:val="21"/>
          <w:szCs w:val="21"/>
          <w:lang w:eastAsia="en-GB"/>
        </w:rPr>
        <w:t xml:space="preserve">ce for Surveys on Research and Experimental Development’ (OECD). </w:t>
      </w:r>
    </w:p>
    <w:p w14:paraId="6750E3E1" w14:textId="77777777" w:rsidR="00803CF1" w:rsidRDefault="00803CF1" w:rsidP="00573631">
      <w:pPr>
        <w:shd w:val="clear" w:color="auto" w:fill="FFFFFF"/>
        <w:spacing w:after="0"/>
        <w:rPr>
          <w:rFonts w:eastAsia="Times New Roman" w:cs="Times New Roman"/>
          <w:color w:val="4A4A4A"/>
          <w:sz w:val="21"/>
          <w:szCs w:val="21"/>
          <w:lang w:eastAsia="en-GB"/>
        </w:rPr>
      </w:pPr>
    </w:p>
    <w:p w14:paraId="2F5758CB" w14:textId="77777777" w:rsidR="003233AE" w:rsidRDefault="00803CF1" w:rsidP="003233AE">
      <w:pPr>
        <w:shd w:val="clear" w:color="auto" w:fill="FFFFFF"/>
        <w:spacing w:after="0"/>
        <w:rPr>
          <w:rFonts w:eastAsia="Times New Roman" w:cs="Times New Roman"/>
          <w:color w:val="4A4A4A"/>
          <w:sz w:val="21"/>
          <w:szCs w:val="21"/>
          <w:lang w:eastAsia="en-GB"/>
        </w:rPr>
      </w:pPr>
      <w:r>
        <w:rPr>
          <w:rFonts w:eastAsia="Times New Roman" w:cs="Times New Roman"/>
          <w:b/>
          <w:bCs/>
          <w:color w:val="4A4A4A"/>
          <w:sz w:val="21"/>
          <w:szCs w:val="21"/>
          <w:lang w:eastAsia="en-GB"/>
        </w:rPr>
        <w:t>Comments and limitations:</w:t>
      </w:r>
    </w:p>
    <w:p w14:paraId="1831217E" w14:textId="74F4A2B4" w:rsidR="00803CF1" w:rsidRPr="003233AE" w:rsidRDefault="003233AE" w:rsidP="003233AE">
      <w:p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D</w:t>
      </w:r>
      <w:r w:rsidRPr="003233AE">
        <w:rPr>
          <w:rFonts w:eastAsia="Times New Roman" w:cs="Times New Roman"/>
          <w:color w:val="4A4A4A"/>
          <w:sz w:val="21"/>
          <w:szCs w:val="21"/>
          <w:lang w:eastAsia="en-GB"/>
        </w:rPr>
        <w:t xml:space="preserve">ue to the fact that no </w:t>
      </w:r>
      <w:r w:rsidR="001D0A61">
        <w:rPr>
          <w:rFonts w:eastAsia="Times New Roman" w:cs="Times New Roman"/>
          <w:color w:val="4A4A4A"/>
          <w:sz w:val="21"/>
          <w:szCs w:val="21"/>
          <w:lang w:eastAsia="en-GB"/>
        </w:rPr>
        <w:t>agreed</w:t>
      </w:r>
      <w:r w:rsidRPr="003233AE">
        <w:rPr>
          <w:rFonts w:eastAsia="Times New Roman" w:cs="Times New Roman"/>
          <w:color w:val="4A4A4A"/>
          <w:sz w:val="21"/>
          <w:szCs w:val="21"/>
          <w:lang w:eastAsia="en-GB"/>
        </w:rPr>
        <w:t xml:space="preserve"> mechanism to assess ocean science capacity existed </w:t>
      </w:r>
      <w:r w:rsidR="001D0A61">
        <w:rPr>
          <w:rFonts w:eastAsia="Times New Roman" w:cs="Times New Roman"/>
          <w:color w:val="4A4A4A"/>
          <w:sz w:val="21"/>
          <w:szCs w:val="21"/>
          <w:lang w:eastAsia="en-GB"/>
        </w:rPr>
        <w:t>till the first edition of the Global Ocean Science Report</w:t>
      </w:r>
      <w:r w:rsidRPr="003233AE">
        <w:rPr>
          <w:rFonts w:eastAsia="Times New Roman" w:cs="Times New Roman"/>
          <w:color w:val="4A4A4A"/>
          <w:sz w:val="21"/>
          <w:szCs w:val="21"/>
          <w:lang w:eastAsia="en-GB"/>
        </w:rPr>
        <w:t>, national reporting mechanisms are scarce and/or are not aligned, leading to small scale capacity development and technology transfer initiatives. However, with the framework of 14.a and the new reporting mechanism in place, global and regional technology and knowledge transfer can be conducted in resource and need adapted manner based on global inventories and comparisons.</w:t>
      </w:r>
    </w:p>
    <w:p w14:paraId="2FDE940C" w14:textId="77777777" w:rsidR="00A61D74" w:rsidRPr="00573631" w:rsidRDefault="00A61D74" w:rsidP="00573631">
      <w:pPr>
        <w:shd w:val="clear" w:color="auto" w:fill="FFFFFF"/>
        <w:spacing w:after="0"/>
        <w:rPr>
          <w:rFonts w:eastAsia="Times New Roman" w:cs="Times New Roman"/>
          <w:color w:val="4A4A4A"/>
          <w:sz w:val="21"/>
          <w:szCs w:val="21"/>
          <w:lang w:eastAsia="en-GB"/>
        </w:rPr>
      </w:pPr>
    </w:p>
    <w:p w14:paraId="08E26FD2" w14:textId="77777777" w:rsidR="0058556D" w:rsidRPr="00573631" w:rsidRDefault="0058556D" w:rsidP="00573631">
      <w:pPr>
        <w:pBdr>
          <w:bottom w:val="single" w:sz="12" w:space="4" w:color="DDDDDD"/>
        </w:pBdr>
        <w:shd w:val="clear" w:color="auto" w:fill="FFFFFF"/>
        <w:spacing w:after="0"/>
        <w:outlineLvl w:val="2"/>
        <w:rPr>
          <w:rFonts w:eastAsia="Times New Roman" w:cs="Times New Roman"/>
          <w:color w:val="1C75BC"/>
          <w:sz w:val="36"/>
          <w:szCs w:val="36"/>
          <w:lang w:eastAsia="en-GB"/>
        </w:rPr>
      </w:pPr>
      <w:r w:rsidRPr="00573631">
        <w:rPr>
          <w:rFonts w:eastAsia="Times New Roman" w:cs="Times New Roman"/>
          <w:color w:val="1C75BC"/>
          <w:sz w:val="36"/>
          <w:szCs w:val="36"/>
          <w:lang w:eastAsia="en-GB"/>
        </w:rPr>
        <w:t>Methodology</w:t>
      </w:r>
    </w:p>
    <w:p w14:paraId="71E88E7F" w14:textId="77777777" w:rsidR="0058556D" w:rsidRPr="00573631" w:rsidRDefault="0058556D" w:rsidP="00573631">
      <w:pPr>
        <w:shd w:val="clear" w:color="auto" w:fill="FFFFFF"/>
        <w:spacing w:after="0"/>
        <w:rPr>
          <w:rFonts w:eastAsia="Times New Roman" w:cs="Times New Roman"/>
          <w:b/>
          <w:bCs/>
          <w:color w:val="4A4A4A"/>
          <w:sz w:val="21"/>
          <w:szCs w:val="21"/>
          <w:lang w:eastAsia="en-GB"/>
        </w:rPr>
      </w:pPr>
    </w:p>
    <w:p w14:paraId="01AF9BB8"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Computation Method:</w:t>
      </w:r>
    </w:p>
    <w:p w14:paraId="196FC2B4" w14:textId="3207DAB1" w:rsidR="003233AE" w:rsidRDefault="003233AE" w:rsidP="007378A3">
      <w:p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Indicator 14.a.1 =</w:t>
      </w:r>
      <w:r w:rsidRPr="003233AE">
        <w:rPr>
          <w:rFonts w:eastAsia="Times New Roman" w:cs="Times New Roman"/>
          <w:color w:val="4A4A4A"/>
          <w:sz w:val="21"/>
          <w:szCs w:val="21"/>
          <w:lang w:eastAsia="en-GB"/>
        </w:rPr>
        <w:t xml:space="preserve"> </w:t>
      </w:r>
      <w:r>
        <w:rPr>
          <w:rFonts w:eastAsia="Times New Roman" w:cs="Times New Roman"/>
          <w:color w:val="4A4A4A"/>
          <w:sz w:val="21"/>
          <w:szCs w:val="21"/>
          <w:lang w:eastAsia="en-GB"/>
        </w:rPr>
        <w:t>National governmental ocean science expenditure / National governmental R&amp;D expenditure</w:t>
      </w:r>
    </w:p>
    <w:p w14:paraId="1507A519" w14:textId="77777777" w:rsidR="003233AE" w:rsidRDefault="003233AE" w:rsidP="007378A3">
      <w:pPr>
        <w:shd w:val="clear" w:color="auto" w:fill="FFFFFF"/>
        <w:spacing w:after="0"/>
        <w:rPr>
          <w:rFonts w:eastAsia="Times New Roman" w:cs="Times New Roman"/>
          <w:color w:val="4A4A4A"/>
          <w:sz w:val="21"/>
          <w:szCs w:val="21"/>
          <w:lang w:eastAsia="en-GB"/>
        </w:rPr>
      </w:pPr>
    </w:p>
    <w:p w14:paraId="361B68C9" w14:textId="6F8D266A" w:rsidR="007378A3" w:rsidRPr="007378A3" w:rsidRDefault="007378A3" w:rsidP="007378A3">
      <w:pPr>
        <w:shd w:val="clear" w:color="auto" w:fill="FFFFFF"/>
        <w:spacing w:after="0"/>
        <w:rPr>
          <w:rFonts w:eastAsia="Times New Roman" w:cs="Times New Roman"/>
          <w:color w:val="4A4A4A"/>
          <w:sz w:val="21"/>
          <w:szCs w:val="21"/>
          <w:lang w:eastAsia="en-GB"/>
        </w:rPr>
      </w:pPr>
      <w:r w:rsidRPr="007378A3">
        <w:rPr>
          <w:rFonts w:eastAsia="Times New Roman" w:cs="Times New Roman"/>
          <w:color w:val="4A4A4A"/>
          <w:sz w:val="21"/>
          <w:szCs w:val="21"/>
          <w:lang w:eastAsia="en-GB"/>
        </w:rPr>
        <w:lastRenderedPageBreak/>
        <w:t>National governmental R&amp;D expenditure data are assessed annually by the UNESCO Institute for Statistics (UIS).</w:t>
      </w:r>
    </w:p>
    <w:p w14:paraId="548FB41F" w14:textId="725D7D28" w:rsidR="007378A3" w:rsidRDefault="007378A3" w:rsidP="007378A3">
      <w:pPr>
        <w:shd w:val="clear" w:color="auto" w:fill="FFFFFF"/>
        <w:spacing w:after="0"/>
        <w:rPr>
          <w:rFonts w:eastAsia="Times New Roman" w:cs="Times New Roman"/>
          <w:color w:val="4A4A4A"/>
          <w:sz w:val="21"/>
          <w:szCs w:val="21"/>
          <w:lang w:eastAsia="en-GB"/>
        </w:rPr>
      </w:pPr>
      <w:r w:rsidRPr="007378A3">
        <w:rPr>
          <w:rFonts w:eastAsia="Times New Roman" w:cs="Times New Roman"/>
          <w:color w:val="4A4A4A"/>
          <w:sz w:val="21"/>
          <w:szCs w:val="21"/>
          <w:lang w:eastAsia="en-GB"/>
        </w:rPr>
        <w:t>National governmental ocean science expenditures are envisaged to be assessed biannually via the GOSR data portal (IOC-XXIX/2 Annex 10)</w:t>
      </w:r>
    </w:p>
    <w:p w14:paraId="079764F7" w14:textId="77777777" w:rsidR="003233AE" w:rsidRPr="007378A3" w:rsidRDefault="003233AE" w:rsidP="007378A3">
      <w:pPr>
        <w:shd w:val="clear" w:color="auto" w:fill="FFFFFF"/>
        <w:spacing w:after="0"/>
        <w:rPr>
          <w:rFonts w:eastAsia="Times New Roman" w:cs="Times New Roman"/>
          <w:color w:val="4A4A4A"/>
          <w:sz w:val="21"/>
          <w:szCs w:val="21"/>
          <w:lang w:eastAsia="en-GB"/>
        </w:rPr>
      </w:pPr>
    </w:p>
    <w:p w14:paraId="12E6A004" w14:textId="56090DE7" w:rsidR="0058556D" w:rsidRDefault="007378A3" w:rsidP="007378A3">
      <w:pPr>
        <w:shd w:val="clear" w:color="auto" w:fill="FFFFFF"/>
        <w:spacing w:after="0"/>
        <w:rPr>
          <w:rFonts w:eastAsia="Times New Roman" w:cs="Times New Roman"/>
          <w:color w:val="4A4A4A"/>
          <w:sz w:val="21"/>
          <w:szCs w:val="21"/>
          <w:lang w:eastAsia="en-GB"/>
        </w:rPr>
      </w:pPr>
      <w:r w:rsidRPr="007378A3">
        <w:rPr>
          <w:rFonts w:eastAsia="Times New Roman" w:cs="Times New Roman"/>
          <w:color w:val="4A4A4A"/>
          <w:sz w:val="21"/>
          <w:szCs w:val="21"/>
          <w:lang w:eastAsia="en-GB"/>
        </w:rPr>
        <w:t>The development of the GOSR data repository/data portal  will take place in strong collaboration with UIS and IOC (at Headquarters and at the IOC Project Office for IODE, Oostende, Belgium).</w:t>
      </w:r>
    </w:p>
    <w:p w14:paraId="34673D45" w14:textId="77777777" w:rsidR="003233AE" w:rsidRPr="00573631" w:rsidRDefault="003233AE" w:rsidP="007378A3">
      <w:pPr>
        <w:shd w:val="clear" w:color="auto" w:fill="FFFFFF"/>
        <w:spacing w:after="0"/>
        <w:rPr>
          <w:rFonts w:eastAsia="Times New Roman" w:cs="Times New Roman"/>
          <w:color w:val="4A4A4A"/>
          <w:sz w:val="21"/>
          <w:szCs w:val="21"/>
          <w:lang w:eastAsia="en-GB"/>
        </w:rPr>
      </w:pPr>
    </w:p>
    <w:p w14:paraId="34956B35"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Disaggregation:</w:t>
      </w:r>
    </w:p>
    <w:p w14:paraId="633E9B1B" w14:textId="4DC6E4C2" w:rsidR="0058556D" w:rsidRPr="00573631" w:rsidRDefault="003233AE" w:rsidP="00573631">
      <w:pPr>
        <w:shd w:val="clear" w:color="auto" w:fill="FFFFFF"/>
        <w:spacing w:after="0"/>
        <w:rPr>
          <w:rFonts w:eastAsia="Times New Roman" w:cs="Times New Roman"/>
          <w:color w:val="4A4A4A"/>
          <w:sz w:val="21"/>
          <w:szCs w:val="21"/>
          <w:lang w:eastAsia="en-GB"/>
        </w:rPr>
      </w:pPr>
      <w:r w:rsidRPr="00382012">
        <w:rPr>
          <w:rFonts w:eastAsia="Times New Roman" w:cs="Times New Roman"/>
          <w:color w:val="4A4A4A"/>
          <w:sz w:val="21"/>
          <w:szCs w:val="21"/>
          <w:lang w:eastAsia="en-GB"/>
        </w:rPr>
        <w:t>National data set with updated every two years, possibility for regional and global aggregation</w:t>
      </w:r>
    </w:p>
    <w:p w14:paraId="73D14641" w14:textId="77777777" w:rsidR="0058556D" w:rsidRPr="00573631" w:rsidRDefault="0058556D" w:rsidP="00573631">
      <w:pPr>
        <w:shd w:val="clear" w:color="auto" w:fill="FFFFFF"/>
        <w:spacing w:after="0"/>
        <w:rPr>
          <w:rFonts w:eastAsia="Times New Roman" w:cs="Times New Roman"/>
          <w:color w:val="4A4A4A"/>
          <w:sz w:val="21"/>
          <w:szCs w:val="21"/>
          <w:lang w:eastAsia="en-GB"/>
        </w:rPr>
      </w:pPr>
    </w:p>
    <w:p w14:paraId="3E811796"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Treatment of missing values:</w:t>
      </w:r>
    </w:p>
    <w:p w14:paraId="3E47725D" w14:textId="77777777" w:rsidR="0058556D" w:rsidRPr="00573631" w:rsidRDefault="0058556D" w:rsidP="00573631">
      <w:pPr>
        <w:numPr>
          <w:ilvl w:val="0"/>
          <w:numId w:val="1"/>
        </w:numPr>
        <w:shd w:val="clear" w:color="auto" w:fill="FFFFFF"/>
        <w:spacing w:after="0" w:line="240" w:lineRule="auto"/>
        <w:ind w:left="495"/>
        <w:outlineLvl w:val="4"/>
        <w:rPr>
          <w:rFonts w:eastAsia="Times New Roman" w:cs="Times New Roman"/>
          <w:color w:val="1C75BC"/>
          <w:sz w:val="21"/>
          <w:szCs w:val="21"/>
          <w:lang w:eastAsia="en-GB"/>
        </w:rPr>
      </w:pPr>
      <w:r w:rsidRPr="00573631">
        <w:rPr>
          <w:rFonts w:eastAsia="Times New Roman" w:cs="Times New Roman"/>
          <w:color w:val="1C75BC"/>
          <w:sz w:val="21"/>
          <w:szCs w:val="21"/>
          <w:lang w:eastAsia="en-GB"/>
        </w:rPr>
        <w:t>At country level</w:t>
      </w:r>
    </w:p>
    <w:p w14:paraId="4F745F47" w14:textId="77777777" w:rsidR="00382012" w:rsidRPr="00382012" w:rsidRDefault="003233AE" w:rsidP="00A61D74">
      <w:pPr>
        <w:shd w:val="clear" w:color="auto" w:fill="FFFFFF"/>
        <w:spacing w:after="0"/>
        <w:rPr>
          <w:rFonts w:eastAsia="Times New Roman" w:cs="Times New Roman"/>
          <w:color w:val="4A4A4A"/>
          <w:sz w:val="21"/>
          <w:szCs w:val="21"/>
          <w:lang w:eastAsia="en-GB"/>
        </w:rPr>
      </w:pPr>
      <w:r w:rsidRPr="00382012">
        <w:rPr>
          <w:rFonts w:eastAsia="Times New Roman" w:cs="Times New Roman"/>
          <w:color w:val="4A4A4A"/>
          <w:sz w:val="21"/>
          <w:szCs w:val="21"/>
          <w:lang w:eastAsia="en-GB"/>
        </w:rPr>
        <w:t xml:space="preserve">In case countries do not provide </w:t>
      </w:r>
      <w:r w:rsidR="00382012" w:rsidRPr="00382012">
        <w:rPr>
          <w:rFonts w:eastAsia="Times New Roman" w:cs="Times New Roman"/>
          <w:color w:val="4A4A4A"/>
          <w:sz w:val="21"/>
          <w:szCs w:val="21"/>
          <w:lang w:eastAsia="en-GB"/>
        </w:rPr>
        <w:t>data, no estimate will be calculated.</w:t>
      </w:r>
    </w:p>
    <w:p w14:paraId="20B355E7" w14:textId="77777777" w:rsidR="0058556D" w:rsidRPr="00573631" w:rsidRDefault="0058556D" w:rsidP="00573631">
      <w:pPr>
        <w:shd w:val="clear" w:color="auto" w:fill="FFFFFF"/>
        <w:spacing w:after="0"/>
        <w:ind w:left="495"/>
        <w:rPr>
          <w:rFonts w:eastAsia="Times New Roman" w:cs="Times New Roman"/>
          <w:color w:val="4A4A4A"/>
          <w:sz w:val="21"/>
          <w:szCs w:val="21"/>
          <w:lang w:eastAsia="en-GB"/>
        </w:rPr>
      </w:pPr>
    </w:p>
    <w:p w14:paraId="1AF34820" w14:textId="77777777" w:rsidR="0058556D" w:rsidRPr="00573631" w:rsidRDefault="0058556D" w:rsidP="00573631">
      <w:pPr>
        <w:numPr>
          <w:ilvl w:val="0"/>
          <w:numId w:val="1"/>
        </w:numPr>
        <w:shd w:val="clear" w:color="auto" w:fill="FFFFFF"/>
        <w:spacing w:after="0" w:line="240" w:lineRule="auto"/>
        <w:ind w:left="495"/>
        <w:outlineLvl w:val="4"/>
        <w:rPr>
          <w:rFonts w:eastAsia="Times New Roman" w:cs="Times New Roman"/>
          <w:color w:val="1C75BC"/>
          <w:sz w:val="21"/>
          <w:szCs w:val="21"/>
          <w:lang w:eastAsia="en-GB"/>
        </w:rPr>
      </w:pPr>
      <w:r w:rsidRPr="00573631">
        <w:rPr>
          <w:rFonts w:eastAsia="Times New Roman" w:cs="Times New Roman"/>
          <w:color w:val="1C75BC"/>
          <w:sz w:val="21"/>
          <w:szCs w:val="21"/>
          <w:lang w:eastAsia="en-GB"/>
        </w:rPr>
        <w:t>At regional and global levels</w:t>
      </w:r>
    </w:p>
    <w:p w14:paraId="7F004F35" w14:textId="0E304D39" w:rsidR="00382012" w:rsidRPr="00382012" w:rsidRDefault="00382012" w:rsidP="00A61D74">
      <w:pPr>
        <w:shd w:val="clear" w:color="auto" w:fill="FFFFFF"/>
        <w:spacing w:after="0"/>
        <w:ind w:left="135"/>
        <w:rPr>
          <w:rFonts w:eastAsia="Times New Roman" w:cs="Times New Roman"/>
          <w:color w:val="4A4A4A"/>
          <w:sz w:val="21"/>
          <w:szCs w:val="21"/>
          <w:lang w:eastAsia="en-GB"/>
        </w:rPr>
      </w:pPr>
      <w:r w:rsidRPr="00382012">
        <w:rPr>
          <w:rFonts w:eastAsia="Times New Roman" w:cs="Times New Roman"/>
          <w:color w:val="4A4A4A"/>
          <w:sz w:val="21"/>
          <w:szCs w:val="21"/>
          <w:lang w:eastAsia="en-GB"/>
        </w:rPr>
        <w:t>For regional and global estimates/averages, only data received from Member States will be taken into account</w:t>
      </w:r>
      <w:r w:rsidR="001D0A61">
        <w:rPr>
          <w:rFonts w:eastAsia="Times New Roman" w:cs="Times New Roman"/>
          <w:color w:val="4A4A4A"/>
          <w:sz w:val="21"/>
          <w:szCs w:val="21"/>
          <w:lang w:eastAsia="en-GB"/>
        </w:rPr>
        <w:t>, missing values are not imputed or otherwise estimated</w:t>
      </w:r>
      <w:r w:rsidRPr="00382012">
        <w:rPr>
          <w:rFonts w:eastAsia="Times New Roman" w:cs="Times New Roman"/>
          <w:color w:val="4A4A4A"/>
          <w:sz w:val="21"/>
          <w:szCs w:val="21"/>
          <w:lang w:eastAsia="en-GB"/>
        </w:rPr>
        <w:t>.</w:t>
      </w:r>
    </w:p>
    <w:p w14:paraId="091AA378" w14:textId="77777777" w:rsidR="0058556D" w:rsidRPr="00573631" w:rsidRDefault="0058556D" w:rsidP="00573631">
      <w:pPr>
        <w:shd w:val="clear" w:color="auto" w:fill="FFFFFF"/>
        <w:spacing w:after="0"/>
        <w:ind w:left="495"/>
        <w:rPr>
          <w:rFonts w:eastAsia="Times New Roman" w:cs="Times New Roman"/>
          <w:color w:val="4A4A4A"/>
          <w:sz w:val="21"/>
          <w:szCs w:val="21"/>
          <w:lang w:eastAsia="en-GB"/>
        </w:rPr>
      </w:pPr>
    </w:p>
    <w:p w14:paraId="5DFDFA60"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Regional aggregates:</w:t>
      </w:r>
    </w:p>
    <w:p w14:paraId="05392AF3" w14:textId="0D0BF963" w:rsidR="00382012" w:rsidRPr="00382012" w:rsidRDefault="00382012" w:rsidP="00573631">
      <w:pPr>
        <w:shd w:val="clear" w:color="auto" w:fill="FFFFFF"/>
        <w:spacing w:after="0"/>
        <w:rPr>
          <w:rFonts w:eastAsia="Times New Roman" w:cs="Times New Roman"/>
          <w:color w:val="4A4A4A"/>
          <w:sz w:val="21"/>
          <w:szCs w:val="21"/>
          <w:lang w:eastAsia="en-GB"/>
        </w:rPr>
      </w:pPr>
      <w:r w:rsidRPr="00382012">
        <w:rPr>
          <w:rFonts w:eastAsia="Times New Roman" w:cs="Times New Roman"/>
          <w:color w:val="4A4A4A"/>
          <w:sz w:val="21"/>
          <w:szCs w:val="21"/>
          <w:lang w:eastAsia="en-GB"/>
        </w:rPr>
        <w:t xml:space="preserve">Each national </w:t>
      </w:r>
      <w:r w:rsidR="007965CF" w:rsidRPr="00382012">
        <w:rPr>
          <w:rFonts w:eastAsia="Times New Roman" w:cs="Times New Roman"/>
          <w:color w:val="4A4A4A"/>
          <w:sz w:val="21"/>
          <w:szCs w:val="21"/>
          <w:lang w:eastAsia="en-GB"/>
        </w:rPr>
        <w:t>contribution</w:t>
      </w:r>
      <w:r w:rsidRPr="00382012">
        <w:rPr>
          <w:rFonts w:eastAsia="Times New Roman" w:cs="Times New Roman"/>
          <w:color w:val="4A4A4A"/>
          <w:sz w:val="21"/>
          <w:szCs w:val="21"/>
          <w:lang w:eastAsia="en-GB"/>
        </w:rPr>
        <w:t xml:space="preserve"> </w:t>
      </w:r>
      <w:r w:rsidR="007965CF">
        <w:rPr>
          <w:rFonts w:eastAsia="Times New Roman" w:cs="Times New Roman"/>
          <w:color w:val="4A4A4A"/>
          <w:sz w:val="21"/>
          <w:szCs w:val="21"/>
          <w:lang w:eastAsia="en-GB"/>
        </w:rPr>
        <w:t>is</w:t>
      </w:r>
      <w:r w:rsidRPr="00382012">
        <w:rPr>
          <w:rFonts w:eastAsia="Times New Roman" w:cs="Times New Roman"/>
          <w:color w:val="4A4A4A"/>
          <w:sz w:val="21"/>
          <w:szCs w:val="21"/>
          <w:lang w:eastAsia="en-GB"/>
        </w:rPr>
        <w:t xml:space="preserve"> weighted equally to calculate average values for the regional and global estimates.</w:t>
      </w:r>
    </w:p>
    <w:p w14:paraId="5673AFA9" w14:textId="77777777" w:rsidR="0058556D" w:rsidRPr="00573631" w:rsidRDefault="0058556D" w:rsidP="00573631">
      <w:pPr>
        <w:shd w:val="clear" w:color="auto" w:fill="FFFFFF"/>
        <w:spacing w:after="0"/>
        <w:rPr>
          <w:rFonts w:eastAsia="Times New Roman" w:cs="Times New Roman"/>
          <w:color w:val="4A4A4A"/>
          <w:sz w:val="21"/>
          <w:szCs w:val="21"/>
          <w:lang w:eastAsia="en-GB"/>
        </w:rPr>
      </w:pPr>
    </w:p>
    <w:p w14:paraId="2F26CC39"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Sources of discrepancies:</w:t>
      </w:r>
    </w:p>
    <w:p w14:paraId="6B023779" w14:textId="7A4D9D21" w:rsidR="00382012" w:rsidRPr="00382012" w:rsidRDefault="00382012" w:rsidP="00573631">
      <w:pPr>
        <w:shd w:val="clear" w:color="auto" w:fill="FFFFFF"/>
        <w:spacing w:after="0"/>
        <w:rPr>
          <w:rFonts w:eastAsia="Times New Roman" w:cs="Times New Roman"/>
          <w:color w:val="4A4A4A"/>
          <w:sz w:val="21"/>
          <w:szCs w:val="21"/>
          <w:lang w:eastAsia="en-GB"/>
        </w:rPr>
      </w:pPr>
      <w:r w:rsidRPr="00B5584D">
        <w:rPr>
          <w:rFonts w:eastAsia="Times New Roman" w:cs="Times New Roman"/>
          <w:color w:val="4A4A4A"/>
          <w:sz w:val="21"/>
          <w:szCs w:val="21"/>
          <w:lang w:eastAsia="en-GB"/>
        </w:rPr>
        <w:t>A</w:t>
      </w:r>
      <w:r w:rsidRPr="00382012">
        <w:rPr>
          <w:rFonts w:eastAsia="Times New Roman" w:cs="Times New Roman"/>
          <w:color w:val="4A4A4A"/>
          <w:sz w:val="21"/>
          <w:szCs w:val="21"/>
          <w:lang w:eastAsia="en-GB"/>
        </w:rPr>
        <w:t>s this indicator only takes into account data submitted by Member States, there are no discrepancies between estimates and submitted data sets.</w:t>
      </w:r>
    </w:p>
    <w:p w14:paraId="0E91EE28" w14:textId="77777777" w:rsidR="00382012" w:rsidRDefault="00382012" w:rsidP="00573631">
      <w:pPr>
        <w:shd w:val="clear" w:color="auto" w:fill="FFFFFF"/>
        <w:spacing w:after="0"/>
        <w:rPr>
          <w:rFonts w:eastAsia="Times New Roman" w:cs="Times New Roman"/>
          <w:color w:val="4A4A4A"/>
          <w:sz w:val="21"/>
          <w:szCs w:val="21"/>
          <w:highlight w:val="yellow"/>
          <w:lang w:eastAsia="en-GB"/>
        </w:rPr>
      </w:pPr>
    </w:p>
    <w:p w14:paraId="0C631759" w14:textId="76FC6372" w:rsidR="00422EA5" w:rsidRPr="00D54F29" w:rsidRDefault="00422EA5" w:rsidP="00573631">
      <w:pPr>
        <w:shd w:val="clear" w:color="auto" w:fill="FFFFFF"/>
        <w:spacing w:after="0"/>
        <w:rPr>
          <w:rFonts w:eastAsia="Times New Roman" w:cs="Times New Roman"/>
          <w:b/>
          <w:bCs/>
          <w:color w:val="4A4A4A"/>
          <w:sz w:val="21"/>
          <w:szCs w:val="21"/>
          <w:lang w:eastAsia="en-GB"/>
        </w:rPr>
      </w:pPr>
      <w:r w:rsidRPr="00D54F29">
        <w:rPr>
          <w:rFonts w:eastAsia="Times New Roman" w:cs="Times New Roman"/>
          <w:b/>
          <w:bCs/>
          <w:color w:val="4A4A4A"/>
          <w:sz w:val="21"/>
          <w:szCs w:val="21"/>
          <w:lang w:eastAsia="en-GB"/>
        </w:rPr>
        <w:t>Methods and guidance</w:t>
      </w:r>
      <w:r w:rsidR="0034329E">
        <w:rPr>
          <w:rFonts w:eastAsia="Times New Roman" w:cs="Times New Roman"/>
          <w:b/>
          <w:bCs/>
          <w:color w:val="4A4A4A"/>
          <w:sz w:val="21"/>
          <w:szCs w:val="21"/>
          <w:lang w:eastAsia="en-GB"/>
        </w:rPr>
        <w:t xml:space="preserve"> </w:t>
      </w:r>
      <w:r w:rsidR="00507852">
        <w:rPr>
          <w:rFonts w:eastAsia="Times New Roman" w:cs="Times New Roman"/>
          <w:b/>
          <w:bCs/>
          <w:color w:val="4A4A4A"/>
          <w:sz w:val="21"/>
          <w:szCs w:val="21"/>
          <w:lang w:eastAsia="en-GB"/>
        </w:rPr>
        <w:t>available</w:t>
      </w:r>
      <w:r w:rsidR="0034329E">
        <w:rPr>
          <w:rFonts w:eastAsia="Times New Roman" w:cs="Times New Roman"/>
          <w:b/>
          <w:bCs/>
          <w:color w:val="4A4A4A"/>
          <w:sz w:val="21"/>
          <w:szCs w:val="21"/>
          <w:lang w:eastAsia="en-GB"/>
        </w:rPr>
        <w:t xml:space="preserve"> to countries</w:t>
      </w:r>
      <w:r w:rsidRPr="00D54F29">
        <w:rPr>
          <w:rFonts w:eastAsia="Times New Roman" w:cs="Times New Roman"/>
          <w:b/>
          <w:bCs/>
          <w:color w:val="4A4A4A"/>
          <w:sz w:val="21"/>
          <w:szCs w:val="21"/>
          <w:lang w:eastAsia="en-GB"/>
        </w:rPr>
        <w:t xml:space="preserve"> for the compilation of the data at the national level:</w:t>
      </w:r>
    </w:p>
    <w:p w14:paraId="5888B526" w14:textId="61D43FF7" w:rsidR="00974295" w:rsidRDefault="00382012" w:rsidP="009C78E4">
      <w:pPr>
        <w:pStyle w:val="ListParagraph"/>
        <w:numPr>
          <w:ilvl w:val="0"/>
          <w:numId w:val="3"/>
        </w:num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No particular guidance for the national data compilation exists as the organization of ocean science differs among Member States. Ways</w:t>
      </w:r>
      <w:r w:rsidR="00B5584D">
        <w:rPr>
          <w:rFonts w:eastAsia="Times New Roman" w:cs="Times New Roman"/>
          <w:color w:val="4A4A4A"/>
          <w:sz w:val="21"/>
          <w:szCs w:val="21"/>
          <w:lang w:eastAsia="en-GB"/>
        </w:rPr>
        <w:t xml:space="preserve"> </w:t>
      </w:r>
      <w:r>
        <w:rPr>
          <w:rFonts w:eastAsia="Times New Roman" w:cs="Times New Roman"/>
          <w:color w:val="4A4A4A"/>
          <w:sz w:val="21"/>
          <w:szCs w:val="21"/>
          <w:lang w:eastAsia="en-GB"/>
        </w:rPr>
        <w:t xml:space="preserve">introduced to obtain relevant data are: IOC focal points consult the respective ministry responsible for ocean science to obtain the data; IOC focal points </w:t>
      </w:r>
      <w:r w:rsidR="00974295">
        <w:rPr>
          <w:rFonts w:eastAsia="Times New Roman" w:cs="Times New Roman"/>
          <w:color w:val="4A4A4A"/>
          <w:sz w:val="21"/>
          <w:szCs w:val="21"/>
          <w:lang w:eastAsia="en-GB"/>
        </w:rPr>
        <w:t>contact universities and intuitions individually.</w:t>
      </w:r>
    </w:p>
    <w:p w14:paraId="66F6A8C5" w14:textId="0E2C386C" w:rsidR="00974295" w:rsidRDefault="00974295" w:rsidP="00974295">
      <w:pPr>
        <w:pStyle w:val="ListParagraph"/>
        <w:numPr>
          <w:ilvl w:val="0"/>
          <w:numId w:val="3"/>
        </w:numPr>
        <w:shd w:val="clear" w:color="auto" w:fill="FFFFFF"/>
        <w:spacing w:after="0"/>
        <w:rPr>
          <w:rFonts w:eastAsia="Times New Roman" w:cs="Times New Roman"/>
          <w:color w:val="4A4A4A"/>
          <w:sz w:val="21"/>
          <w:szCs w:val="21"/>
          <w:lang w:eastAsia="en-GB"/>
        </w:rPr>
      </w:pPr>
      <w:r w:rsidRPr="00974295">
        <w:rPr>
          <w:rFonts w:eastAsia="Times New Roman" w:cs="Times New Roman"/>
          <w:color w:val="4A4A4A"/>
          <w:sz w:val="21"/>
          <w:szCs w:val="21"/>
          <w:lang w:eastAsia="en-GB"/>
        </w:rPr>
        <w:t xml:space="preserve">The novelty of the GOSR and therefore also the data it contains required the IOC secretariat to collect the data via its national focal point until now. Future data collections are expected to be a mixture of direct requests to NSOs, as new national reporting mechanisms are now installed allowing them to provide the required information (e.g. Colombia, Canada, Italy; document IOC-XXIX/2 Annex 14), questionnaires to the IOC national focal points and collaboration with National Oceanographic Data Centres. The GERD (gross domestic expenditure on research and development) data </w:t>
      </w:r>
      <w:r w:rsidR="007965CF">
        <w:rPr>
          <w:rFonts w:eastAsia="Times New Roman" w:cs="Times New Roman"/>
          <w:color w:val="4A4A4A"/>
          <w:sz w:val="21"/>
          <w:szCs w:val="21"/>
          <w:lang w:eastAsia="en-GB"/>
        </w:rPr>
        <w:t>are</w:t>
      </w:r>
      <w:r w:rsidRPr="00974295">
        <w:rPr>
          <w:rFonts w:eastAsia="Times New Roman" w:cs="Times New Roman"/>
          <w:color w:val="4A4A4A"/>
          <w:sz w:val="21"/>
          <w:szCs w:val="21"/>
          <w:lang w:eastAsia="en-GB"/>
        </w:rPr>
        <w:t xml:space="preserve"> obtained from the UNESCO Institute for Statistics, based on information directly provided from NSOs.</w:t>
      </w:r>
    </w:p>
    <w:p w14:paraId="698F0416" w14:textId="77777777" w:rsidR="00422EA5" w:rsidRDefault="00422EA5" w:rsidP="00573631">
      <w:pPr>
        <w:shd w:val="clear" w:color="auto" w:fill="FFFFFF"/>
        <w:spacing w:after="0"/>
        <w:rPr>
          <w:color w:val="4A86E8"/>
          <w:sz w:val="20"/>
          <w:szCs w:val="20"/>
        </w:rPr>
      </w:pPr>
    </w:p>
    <w:p w14:paraId="2E9CA11A" w14:textId="77777777" w:rsidR="00422EA5" w:rsidRPr="00D54F29" w:rsidRDefault="00422EA5" w:rsidP="00573631">
      <w:pPr>
        <w:shd w:val="clear" w:color="auto" w:fill="FFFFFF"/>
        <w:spacing w:after="0"/>
        <w:rPr>
          <w:rFonts w:eastAsia="Times New Roman" w:cs="Times New Roman"/>
          <w:b/>
          <w:bCs/>
          <w:color w:val="4A4A4A"/>
          <w:sz w:val="21"/>
          <w:szCs w:val="21"/>
          <w:lang w:eastAsia="en-GB"/>
        </w:rPr>
      </w:pPr>
      <w:r w:rsidRPr="00D54F29">
        <w:rPr>
          <w:rFonts w:eastAsia="Times New Roman" w:cs="Times New Roman"/>
          <w:b/>
          <w:bCs/>
          <w:color w:val="4A4A4A"/>
          <w:sz w:val="21"/>
          <w:szCs w:val="21"/>
          <w:lang w:eastAsia="en-GB"/>
        </w:rPr>
        <w:t>Quality assurance</w:t>
      </w:r>
    </w:p>
    <w:p w14:paraId="55C93FEA" w14:textId="7583E7CA" w:rsidR="00974295" w:rsidRPr="00974295" w:rsidRDefault="00974295" w:rsidP="009C78E4">
      <w:pPr>
        <w:pStyle w:val="ListParagraph"/>
        <w:numPr>
          <w:ilvl w:val="0"/>
          <w:numId w:val="4"/>
        </w:numPr>
        <w:shd w:val="clear" w:color="auto" w:fill="FFFFFF"/>
        <w:spacing w:after="0"/>
        <w:rPr>
          <w:rFonts w:eastAsia="Times New Roman" w:cs="Times New Roman"/>
          <w:color w:val="4A4A4A"/>
          <w:sz w:val="21"/>
          <w:szCs w:val="21"/>
        </w:rPr>
      </w:pPr>
      <w:r w:rsidRPr="00974295">
        <w:rPr>
          <w:rFonts w:eastAsia="Times New Roman" w:cs="Times New Roman"/>
          <w:color w:val="4A4A4A"/>
          <w:sz w:val="21"/>
          <w:szCs w:val="21"/>
          <w:lang w:eastAsia="en-GB"/>
        </w:rPr>
        <w:t xml:space="preserve">Experts at the national and colleagues from UIS assist in the data quality assessment, comparing indicator values with the national expenditure </w:t>
      </w:r>
      <w:r w:rsidR="000C4769">
        <w:rPr>
          <w:rFonts w:eastAsia="Times New Roman" w:cs="Times New Roman"/>
          <w:color w:val="4A4A4A"/>
          <w:sz w:val="21"/>
          <w:szCs w:val="21"/>
          <w:lang w:eastAsia="en-GB"/>
        </w:rPr>
        <w:t>for Natural Sciences (UIS)</w:t>
      </w:r>
      <w:r w:rsidRPr="00974295">
        <w:rPr>
          <w:rFonts w:eastAsia="Times New Roman" w:cs="Times New Roman"/>
          <w:color w:val="4A4A4A"/>
          <w:sz w:val="21"/>
          <w:szCs w:val="21"/>
          <w:lang w:eastAsia="en-GB"/>
        </w:rPr>
        <w:t xml:space="preserve"> allow to identify discrepancies. </w:t>
      </w:r>
      <w:r w:rsidR="000C4769">
        <w:rPr>
          <w:rFonts w:eastAsia="Times New Roman" w:cs="Times New Roman"/>
          <w:color w:val="4A4A4A"/>
          <w:sz w:val="21"/>
          <w:szCs w:val="21"/>
          <w:lang w:eastAsia="en-GB"/>
        </w:rPr>
        <w:t>In the future</w:t>
      </w:r>
      <w:r w:rsidRPr="00974295">
        <w:rPr>
          <w:rFonts w:eastAsia="Times New Roman" w:cs="Times New Roman"/>
          <w:color w:val="4A4A4A"/>
          <w:sz w:val="21"/>
          <w:szCs w:val="21"/>
          <w:lang w:eastAsia="en-GB"/>
        </w:rPr>
        <w:t xml:space="preserve"> new values will be compared to previously obtained information. In case of discrepancies, the IOC secretariat will consult the data providers individually.</w:t>
      </w:r>
    </w:p>
    <w:p w14:paraId="071BF7EA" w14:textId="60602904" w:rsidR="00974295" w:rsidRDefault="00974295" w:rsidP="00974295">
      <w:pPr>
        <w:pStyle w:val="ListParagraph"/>
        <w:numPr>
          <w:ilvl w:val="0"/>
          <w:numId w:val="4"/>
        </w:numPr>
        <w:shd w:val="clear" w:color="auto" w:fill="FFFFFF"/>
        <w:spacing w:after="0"/>
        <w:rPr>
          <w:rFonts w:eastAsia="Times New Roman" w:cs="Times New Roman"/>
          <w:color w:val="4A4A4A"/>
          <w:sz w:val="21"/>
          <w:szCs w:val="21"/>
        </w:rPr>
      </w:pPr>
      <w:r w:rsidRPr="00974295">
        <w:rPr>
          <w:rFonts w:eastAsia="Times New Roman" w:cs="Times New Roman"/>
          <w:color w:val="4A4A4A"/>
          <w:sz w:val="21"/>
          <w:szCs w:val="21"/>
        </w:rPr>
        <w:t>Combination of: Automated quality control by data portal; National quality control; IOC</w:t>
      </w:r>
      <w:r w:rsidR="000C4769">
        <w:rPr>
          <w:rFonts w:eastAsia="Times New Roman" w:cs="Times New Roman"/>
          <w:color w:val="4A4A4A"/>
          <w:sz w:val="21"/>
          <w:szCs w:val="21"/>
        </w:rPr>
        <w:t>.</w:t>
      </w:r>
    </w:p>
    <w:p w14:paraId="7D23F723" w14:textId="77777777" w:rsidR="00974295" w:rsidRPr="00974295" w:rsidRDefault="00974295" w:rsidP="00974295">
      <w:pPr>
        <w:pStyle w:val="ListParagraph"/>
        <w:shd w:val="clear" w:color="auto" w:fill="FFFFFF"/>
        <w:spacing w:after="0"/>
        <w:rPr>
          <w:rFonts w:eastAsia="Times New Roman" w:cs="Times New Roman"/>
          <w:color w:val="4A4A4A"/>
          <w:sz w:val="21"/>
          <w:szCs w:val="21"/>
        </w:rPr>
      </w:pPr>
    </w:p>
    <w:p w14:paraId="40A0ED07" w14:textId="77777777" w:rsidR="0058556D" w:rsidRPr="00573631" w:rsidRDefault="0058556D" w:rsidP="00573631">
      <w:pPr>
        <w:shd w:val="clear" w:color="auto" w:fill="FFFFFF"/>
        <w:spacing w:after="0"/>
        <w:rPr>
          <w:rFonts w:eastAsia="Times New Roman" w:cs="Times New Roman"/>
          <w:color w:val="4A4A4A"/>
          <w:sz w:val="21"/>
          <w:szCs w:val="21"/>
          <w:lang w:eastAsia="en-GB"/>
        </w:rPr>
      </w:pPr>
    </w:p>
    <w:p w14:paraId="78B20C6B" w14:textId="77777777" w:rsidR="0058556D" w:rsidRPr="00573631" w:rsidRDefault="0058556D" w:rsidP="00573631">
      <w:pPr>
        <w:pBdr>
          <w:bottom w:val="single" w:sz="12" w:space="4" w:color="DDDDDD"/>
        </w:pBdr>
        <w:shd w:val="clear" w:color="auto" w:fill="FFFFFF"/>
        <w:spacing w:after="0"/>
        <w:outlineLvl w:val="2"/>
        <w:rPr>
          <w:rFonts w:eastAsia="Times New Roman" w:cs="Times New Roman"/>
          <w:color w:val="1C75BC"/>
          <w:sz w:val="36"/>
          <w:szCs w:val="36"/>
          <w:lang w:eastAsia="en-GB"/>
        </w:rPr>
      </w:pPr>
      <w:r w:rsidRPr="00573631">
        <w:rPr>
          <w:rFonts w:eastAsia="Times New Roman" w:cs="Times New Roman"/>
          <w:color w:val="1C75BC"/>
          <w:sz w:val="36"/>
          <w:szCs w:val="36"/>
          <w:lang w:eastAsia="en-GB"/>
        </w:rPr>
        <w:t>Data Sources</w:t>
      </w:r>
    </w:p>
    <w:p w14:paraId="61934DC5" w14:textId="77777777" w:rsidR="0058556D" w:rsidRPr="00573631" w:rsidRDefault="0058556D" w:rsidP="00573631">
      <w:pPr>
        <w:shd w:val="clear" w:color="auto" w:fill="FFFFFF"/>
        <w:spacing w:after="0"/>
        <w:rPr>
          <w:rFonts w:eastAsia="Times New Roman" w:cs="Times New Roman"/>
          <w:b/>
          <w:bCs/>
          <w:color w:val="4A4A4A"/>
          <w:sz w:val="21"/>
          <w:szCs w:val="21"/>
          <w:lang w:eastAsia="en-GB"/>
        </w:rPr>
      </w:pPr>
    </w:p>
    <w:p w14:paraId="6B1B63CB"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Description:</w:t>
      </w:r>
    </w:p>
    <w:p w14:paraId="015FD39C" w14:textId="77777777" w:rsidR="000C4769" w:rsidRDefault="000C4769" w:rsidP="00974295">
      <w:p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 xml:space="preserve">Data sources: biannual direct submission to the </w:t>
      </w:r>
      <w:r w:rsidR="00974295" w:rsidRPr="00974295">
        <w:rPr>
          <w:rFonts w:eastAsia="Times New Roman" w:cs="Times New Roman"/>
          <w:color w:val="4A4A4A"/>
          <w:sz w:val="21"/>
          <w:szCs w:val="21"/>
          <w:lang w:eastAsia="en-GB"/>
        </w:rPr>
        <w:t xml:space="preserve">GOSR data portal </w:t>
      </w:r>
      <w:r>
        <w:rPr>
          <w:rFonts w:eastAsia="Times New Roman" w:cs="Times New Roman"/>
          <w:color w:val="4A4A4A"/>
          <w:sz w:val="21"/>
          <w:szCs w:val="21"/>
          <w:lang w:eastAsia="en-GB"/>
        </w:rPr>
        <w:t xml:space="preserve">(currently in development) </w:t>
      </w:r>
      <w:r w:rsidR="00974295" w:rsidRPr="00974295">
        <w:rPr>
          <w:rFonts w:eastAsia="Times New Roman" w:cs="Times New Roman"/>
          <w:color w:val="4A4A4A"/>
          <w:sz w:val="21"/>
          <w:szCs w:val="21"/>
          <w:lang w:eastAsia="en-GB"/>
        </w:rPr>
        <w:t xml:space="preserve">and </w:t>
      </w:r>
      <w:r>
        <w:rPr>
          <w:rFonts w:eastAsia="Times New Roman" w:cs="Times New Roman"/>
          <w:color w:val="4A4A4A"/>
          <w:sz w:val="21"/>
          <w:szCs w:val="21"/>
          <w:lang w:eastAsia="en-GB"/>
        </w:rPr>
        <w:t xml:space="preserve">the GOSR </w:t>
      </w:r>
      <w:r w:rsidR="00974295" w:rsidRPr="00974295">
        <w:rPr>
          <w:rFonts w:eastAsia="Times New Roman" w:cs="Times New Roman"/>
          <w:color w:val="4A4A4A"/>
          <w:sz w:val="21"/>
          <w:szCs w:val="21"/>
          <w:lang w:eastAsia="en-GB"/>
        </w:rPr>
        <w:t>questionnaire biannual</w:t>
      </w:r>
      <w:r>
        <w:rPr>
          <w:rFonts w:eastAsia="Times New Roman" w:cs="Times New Roman"/>
          <w:color w:val="4A4A4A"/>
          <w:sz w:val="21"/>
          <w:szCs w:val="21"/>
          <w:lang w:eastAsia="en-GB"/>
        </w:rPr>
        <w:t>.</w:t>
      </w:r>
    </w:p>
    <w:p w14:paraId="7B7B1D4E" w14:textId="70FE4CBB" w:rsidR="00F76AD0" w:rsidRDefault="00F76AD0" w:rsidP="00974295">
      <w:pPr>
        <w:shd w:val="clear" w:color="auto" w:fill="FFFFFF"/>
        <w:spacing w:after="0"/>
        <w:rPr>
          <w:rFonts w:eastAsia="Times New Roman" w:cs="Times New Roman"/>
          <w:color w:val="4A4A4A"/>
          <w:sz w:val="21"/>
          <w:szCs w:val="21"/>
          <w:lang w:eastAsia="en-GB"/>
        </w:rPr>
      </w:pPr>
      <w:r w:rsidRPr="00974295">
        <w:rPr>
          <w:rFonts w:eastAsia="Times New Roman" w:cs="Times New Roman"/>
          <w:color w:val="4A4A4A"/>
          <w:sz w:val="21"/>
          <w:szCs w:val="21"/>
          <w:lang w:eastAsia="en-GB"/>
        </w:rPr>
        <w:t>The questionnaire used for the first edition of the GOSR will be reviewed by the Editorial Board of the GOSR, IOC (at Headquarters and at the IOC Project Office for IODE, Oostende, Belgium), as well as UIS. Assessment from 2018 on will be conducted with an improved questionnaire.</w:t>
      </w:r>
    </w:p>
    <w:p w14:paraId="15BCD25E" w14:textId="77777777" w:rsidR="00F76AD0" w:rsidRDefault="00F76AD0" w:rsidP="00974295">
      <w:pPr>
        <w:shd w:val="clear" w:color="auto" w:fill="FFFFFF"/>
        <w:spacing w:after="0"/>
        <w:rPr>
          <w:rFonts w:eastAsia="Times New Roman" w:cs="Times New Roman"/>
          <w:color w:val="4A4A4A"/>
          <w:sz w:val="21"/>
          <w:szCs w:val="21"/>
          <w:lang w:eastAsia="en-GB"/>
        </w:rPr>
      </w:pPr>
    </w:p>
    <w:p w14:paraId="2E01CFAA" w14:textId="16A2C368" w:rsidR="00F76AD0" w:rsidRDefault="000C4769" w:rsidP="00974295">
      <w:p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As mentioned previously t</w:t>
      </w:r>
      <w:r w:rsidR="00F76AD0" w:rsidRPr="00F76AD0">
        <w:rPr>
          <w:rFonts w:eastAsia="Times New Roman" w:cs="Times New Roman"/>
          <w:color w:val="4A4A4A"/>
          <w:sz w:val="21"/>
          <w:szCs w:val="21"/>
          <w:lang w:eastAsia="en-GB"/>
        </w:rPr>
        <w:t>he novelty of the GOSR and required the IOC secretariat to collect the data via its national focal point until now. Future data collections are expected to be a mixture of direct requests to NSOs, as new national reporting mechanisms are now installed allowing them to provide the required information (e.g. Colombia, Canada, Italy; (document IOC-XXIX/2 Annex 14), questionnaires to the IOC national focal points and collaboration with National Oceanographic Data Centres. The GERD (gross domestic expenditure on research and development) data were obtained from the UNESCO Institute for Statistics, based on information directly provided from NSOs.</w:t>
      </w:r>
    </w:p>
    <w:p w14:paraId="0AFD1729" w14:textId="77777777" w:rsidR="00F76AD0" w:rsidRDefault="00F76AD0" w:rsidP="00974295">
      <w:pPr>
        <w:shd w:val="clear" w:color="auto" w:fill="FFFFFF"/>
        <w:spacing w:after="0"/>
        <w:rPr>
          <w:rFonts w:eastAsia="Times New Roman" w:cs="Times New Roman"/>
          <w:color w:val="4A4A4A"/>
          <w:sz w:val="21"/>
          <w:szCs w:val="21"/>
          <w:lang w:eastAsia="en-GB"/>
        </w:rPr>
      </w:pPr>
    </w:p>
    <w:p w14:paraId="42DBF058" w14:textId="77777777" w:rsidR="00974295" w:rsidRPr="00573631" w:rsidRDefault="00974295" w:rsidP="00974295">
      <w:pPr>
        <w:shd w:val="clear" w:color="auto" w:fill="FFFFFF"/>
        <w:spacing w:after="0"/>
        <w:rPr>
          <w:rFonts w:eastAsia="Times New Roman" w:cs="Times New Roman"/>
          <w:color w:val="4A4A4A"/>
          <w:sz w:val="21"/>
          <w:szCs w:val="21"/>
          <w:lang w:eastAsia="en-GB"/>
        </w:rPr>
      </w:pPr>
    </w:p>
    <w:p w14:paraId="7DD49431"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Collection process:</w:t>
      </w:r>
    </w:p>
    <w:p w14:paraId="60695EF2" w14:textId="77777777" w:rsidR="00F76AD0" w:rsidRDefault="00F76AD0" w:rsidP="00F76AD0">
      <w:pPr>
        <w:pStyle w:val="ListParagraph"/>
        <w:numPr>
          <w:ilvl w:val="0"/>
          <w:numId w:val="5"/>
        </w:num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Counterparts:</w:t>
      </w:r>
    </w:p>
    <w:p w14:paraId="6858934A" w14:textId="77777777" w:rsidR="00F76AD0" w:rsidRDefault="00F76AD0" w:rsidP="00F76AD0">
      <w:pPr>
        <w:pStyle w:val="ListParagraph"/>
        <w:shd w:val="clear" w:color="auto" w:fill="FFFFFF"/>
        <w:spacing w:after="0"/>
        <w:ind w:left="1080"/>
        <w:rPr>
          <w:rFonts w:eastAsia="Times New Roman" w:cs="Times New Roman"/>
          <w:color w:val="4A4A4A"/>
          <w:sz w:val="21"/>
          <w:szCs w:val="21"/>
          <w:lang w:eastAsia="en-GB"/>
        </w:rPr>
      </w:pPr>
      <w:r w:rsidRPr="00F76AD0">
        <w:rPr>
          <w:rFonts w:eastAsia="Times New Roman" w:cs="Times New Roman"/>
          <w:color w:val="4A4A4A"/>
          <w:sz w:val="21"/>
          <w:szCs w:val="21"/>
          <w:lang w:eastAsia="en-GB"/>
        </w:rPr>
        <w:t xml:space="preserve">As mentioned in the previous paragraph the official counterparts are the IOC focal points and well as National Oceanographic and Statistical Data Centres. </w:t>
      </w:r>
    </w:p>
    <w:p w14:paraId="459B470F" w14:textId="77777777" w:rsidR="00F76AD0" w:rsidRDefault="00F76AD0" w:rsidP="00F76AD0">
      <w:pPr>
        <w:pStyle w:val="ListParagraph"/>
        <w:numPr>
          <w:ilvl w:val="0"/>
          <w:numId w:val="5"/>
        </w:num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 xml:space="preserve">Validation and consultation process: </w:t>
      </w:r>
    </w:p>
    <w:p w14:paraId="5CF6E8A6" w14:textId="05B681B9" w:rsidR="00F76AD0" w:rsidRDefault="00F76AD0" w:rsidP="00F76AD0">
      <w:pPr>
        <w:pStyle w:val="ListParagraph"/>
        <w:shd w:val="clear" w:color="auto" w:fill="FFFFFF"/>
        <w:spacing w:after="0"/>
        <w:ind w:left="1080"/>
        <w:rPr>
          <w:rFonts w:eastAsia="Times New Roman" w:cs="Times New Roman"/>
          <w:color w:val="4A4A4A"/>
          <w:sz w:val="21"/>
          <w:szCs w:val="21"/>
          <w:lang w:eastAsia="en-GB"/>
        </w:rPr>
      </w:pPr>
      <w:r w:rsidRPr="00F76AD0">
        <w:rPr>
          <w:rFonts w:eastAsia="Times New Roman" w:cs="Times New Roman"/>
          <w:color w:val="4A4A4A"/>
          <w:sz w:val="21"/>
          <w:szCs w:val="21"/>
          <w:lang w:eastAsia="en-GB"/>
        </w:rPr>
        <w:t xml:space="preserve">These counterparts are invited </w:t>
      </w:r>
      <w:r>
        <w:rPr>
          <w:rFonts w:eastAsia="Times New Roman" w:cs="Times New Roman"/>
          <w:color w:val="4A4A4A"/>
          <w:sz w:val="21"/>
          <w:szCs w:val="21"/>
          <w:lang w:eastAsia="en-GB"/>
        </w:rPr>
        <w:t>to provide references for the information provided.</w:t>
      </w:r>
    </w:p>
    <w:p w14:paraId="7318201A" w14:textId="77777777" w:rsidR="00F76AD0" w:rsidRDefault="00F76AD0" w:rsidP="00F76AD0">
      <w:pPr>
        <w:pStyle w:val="ListParagraph"/>
        <w:numPr>
          <w:ilvl w:val="0"/>
          <w:numId w:val="5"/>
        </w:num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 xml:space="preserve">Adjustments: </w:t>
      </w:r>
    </w:p>
    <w:p w14:paraId="6D8AC6A7" w14:textId="641AB0F0" w:rsidR="00F76AD0" w:rsidRDefault="00F76AD0" w:rsidP="00F76AD0">
      <w:pPr>
        <w:pStyle w:val="ListParagraph"/>
        <w:shd w:val="clear" w:color="auto" w:fill="FFFFFF"/>
        <w:spacing w:after="0"/>
        <w:ind w:left="1080"/>
        <w:rPr>
          <w:rFonts w:eastAsia="Times New Roman" w:cs="Times New Roman"/>
          <w:color w:val="4A4A4A"/>
          <w:sz w:val="21"/>
          <w:szCs w:val="21"/>
          <w:lang w:eastAsia="en-GB"/>
        </w:rPr>
      </w:pPr>
      <w:r>
        <w:rPr>
          <w:rFonts w:eastAsia="Times New Roman" w:cs="Times New Roman"/>
          <w:color w:val="4A4A4A"/>
          <w:sz w:val="21"/>
          <w:szCs w:val="21"/>
          <w:lang w:eastAsia="en-GB"/>
        </w:rPr>
        <w:t>No adjustments are/will be made, as no other organization obtains similar data. Similar indicators are also reported in the ‘UNESCO Science Report</w:t>
      </w:r>
      <w:r w:rsidR="00971416">
        <w:rPr>
          <w:rFonts w:eastAsia="Times New Roman" w:cs="Times New Roman"/>
          <w:color w:val="4A4A4A"/>
          <w:sz w:val="21"/>
          <w:szCs w:val="21"/>
          <w:lang w:eastAsia="en-GB"/>
        </w:rPr>
        <w:t>’ and via the UIS website</w:t>
      </w:r>
      <w:r>
        <w:rPr>
          <w:rFonts w:eastAsia="Times New Roman" w:cs="Times New Roman"/>
          <w:color w:val="4A4A4A"/>
          <w:sz w:val="21"/>
          <w:szCs w:val="21"/>
          <w:lang w:eastAsia="en-GB"/>
        </w:rPr>
        <w:t>.</w:t>
      </w:r>
    </w:p>
    <w:p w14:paraId="342B8C6A" w14:textId="77777777" w:rsidR="00F76AD0" w:rsidRPr="00F76AD0" w:rsidRDefault="00F76AD0" w:rsidP="00F76AD0">
      <w:pPr>
        <w:pStyle w:val="ListParagraph"/>
        <w:shd w:val="clear" w:color="auto" w:fill="FFFFFF"/>
        <w:spacing w:after="0"/>
        <w:ind w:left="1080"/>
        <w:rPr>
          <w:rFonts w:eastAsia="Times New Roman" w:cs="Times New Roman"/>
          <w:color w:val="4A4A4A"/>
          <w:sz w:val="21"/>
          <w:szCs w:val="21"/>
          <w:lang w:eastAsia="en-GB"/>
        </w:rPr>
      </w:pPr>
    </w:p>
    <w:p w14:paraId="1C99878C" w14:textId="77777777" w:rsidR="0058556D" w:rsidRPr="00573631" w:rsidRDefault="0058556D" w:rsidP="00573631">
      <w:pPr>
        <w:shd w:val="clear" w:color="auto" w:fill="FFFFFF"/>
        <w:spacing w:after="0"/>
        <w:rPr>
          <w:rFonts w:eastAsia="Times New Roman" w:cs="Times New Roman"/>
          <w:color w:val="4A4A4A"/>
          <w:sz w:val="21"/>
          <w:szCs w:val="21"/>
          <w:lang w:eastAsia="en-GB"/>
        </w:rPr>
      </w:pPr>
    </w:p>
    <w:p w14:paraId="48F1D07D" w14:textId="77777777" w:rsidR="0058556D" w:rsidRPr="00573631" w:rsidRDefault="0058556D" w:rsidP="00573631">
      <w:pPr>
        <w:pBdr>
          <w:bottom w:val="single" w:sz="12" w:space="4" w:color="DDDDDD"/>
        </w:pBdr>
        <w:shd w:val="clear" w:color="auto" w:fill="FFFFFF"/>
        <w:spacing w:after="0"/>
        <w:outlineLvl w:val="2"/>
        <w:rPr>
          <w:rFonts w:eastAsia="Times New Roman" w:cs="Times New Roman"/>
          <w:color w:val="1C75BC"/>
          <w:sz w:val="36"/>
          <w:szCs w:val="36"/>
          <w:lang w:eastAsia="en-GB"/>
        </w:rPr>
      </w:pPr>
      <w:r w:rsidRPr="00573631">
        <w:rPr>
          <w:rFonts w:eastAsia="Times New Roman" w:cs="Times New Roman"/>
          <w:color w:val="1C75BC"/>
          <w:sz w:val="36"/>
          <w:szCs w:val="36"/>
          <w:lang w:eastAsia="en-GB"/>
        </w:rPr>
        <w:t>Data Availability</w:t>
      </w:r>
    </w:p>
    <w:p w14:paraId="7FD821F3" w14:textId="77777777" w:rsidR="0058556D" w:rsidRPr="00573631" w:rsidRDefault="0058556D" w:rsidP="00573631">
      <w:pPr>
        <w:shd w:val="clear" w:color="auto" w:fill="FFFFFF"/>
        <w:spacing w:after="0"/>
        <w:rPr>
          <w:rFonts w:eastAsia="Times New Roman" w:cs="Times New Roman"/>
          <w:b/>
          <w:bCs/>
          <w:color w:val="4A4A4A"/>
          <w:sz w:val="21"/>
          <w:szCs w:val="21"/>
          <w:lang w:eastAsia="en-GB"/>
        </w:rPr>
      </w:pPr>
    </w:p>
    <w:p w14:paraId="219B5F9D"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Description:</w:t>
      </w:r>
    </w:p>
    <w:p w14:paraId="5527ECAB" w14:textId="4EF2EA5C" w:rsidR="00A61D74" w:rsidRDefault="00F76AD0" w:rsidP="00A61D74">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The table below shows the result of research budget allocated to research in the field of marine technology</w:t>
      </w:r>
      <w:r w:rsidR="003A5E30">
        <w:rPr>
          <w:rFonts w:eastAsia="Times New Roman" w:cs="Times New Roman"/>
          <w:color w:val="4A4A4A"/>
          <w:sz w:val="21"/>
          <w:szCs w:val="21"/>
          <w:lang w:eastAsia="en-GB"/>
        </w:rPr>
        <w:t>. The first assessments includes information for</w:t>
      </w:r>
      <w:r w:rsidRPr="00F76AD0">
        <w:rPr>
          <w:rFonts w:eastAsia="Times New Roman" w:cs="Times New Roman"/>
          <w:color w:val="4A4A4A"/>
          <w:sz w:val="21"/>
          <w:szCs w:val="21"/>
          <w:lang w:eastAsia="en-GB"/>
        </w:rPr>
        <w:t xml:space="preserve"> 25 countries for the time period from 2009-2013 (or for a sub-set of these years)</w:t>
      </w:r>
      <w:r w:rsidR="003A5E30">
        <w:rPr>
          <w:rFonts w:eastAsia="Times New Roman" w:cs="Times New Roman"/>
          <w:color w:val="4A4A4A"/>
          <w:sz w:val="21"/>
          <w:szCs w:val="21"/>
          <w:lang w:eastAsia="en-GB"/>
        </w:rPr>
        <w:t>. These data were published in the Global Ocean Science Report (2017).</w:t>
      </w:r>
    </w:p>
    <w:p w14:paraId="39319397" w14:textId="4064A7B9" w:rsidR="00F76AD0" w:rsidRPr="00F76AD0" w:rsidRDefault="00F76AD0" w:rsidP="00F76AD0">
      <w:pPr>
        <w:shd w:val="clear" w:color="auto" w:fill="FFFFFF"/>
        <w:spacing w:after="0"/>
        <w:rPr>
          <w:rFonts w:eastAsia="Times New Roman" w:cs="Times New Roman"/>
          <w:iCs/>
          <w:color w:val="4A4A4A"/>
          <w:sz w:val="21"/>
          <w:szCs w:val="21"/>
          <w:lang w:eastAsia="en-GB"/>
        </w:rPr>
      </w:pPr>
    </w:p>
    <w:p w14:paraId="528E8AAA" w14:textId="4C1621E4" w:rsidR="00F76AD0" w:rsidRDefault="00F76AD0" w:rsidP="00F76AD0">
      <w:pPr>
        <w:pStyle w:val="Caption"/>
        <w:keepNext/>
      </w:pPr>
      <w:r>
        <w:t xml:space="preserve">Table </w:t>
      </w:r>
      <w:fldSimple w:instr=" SEQ Table \* ARABIC ">
        <w:r>
          <w:rPr>
            <w:noProof/>
          </w:rPr>
          <w:t>1</w:t>
        </w:r>
      </w:fldSimple>
      <w:r>
        <w:t xml:space="preserve">. </w:t>
      </w:r>
      <w:r w:rsidRPr="00F76AD0">
        <w:t xml:space="preserve">Percentage national ocean science expenditure of GERD for countries which provided information regarding ocean science expenditure via the GOSR questionnaire (sources GERD,: UIS, 2015; ocean science expenditure: GOSR questionnaire, </w:t>
      </w:r>
      <w:r w:rsidRPr="00F76AD0">
        <w:lastRenderedPageBreak/>
        <w:t>2015; average non-weighted). Note: green fields indicate a percentage higher than 1.5 and yellow fields indicate percentages higher than 0.5.</w:t>
      </w:r>
    </w:p>
    <w:tbl>
      <w:tblPr>
        <w:tblW w:w="7230" w:type="dxa"/>
        <w:tblLayout w:type="fixed"/>
        <w:tblLook w:val="04A0" w:firstRow="1" w:lastRow="0" w:firstColumn="1" w:lastColumn="0" w:noHBand="0" w:noVBand="1"/>
      </w:tblPr>
      <w:tblGrid>
        <w:gridCol w:w="1457"/>
        <w:gridCol w:w="1095"/>
        <w:gridCol w:w="992"/>
        <w:gridCol w:w="851"/>
        <w:gridCol w:w="992"/>
        <w:gridCol w:w="992"/>
        <w:gridCol w:w="851"/>
      </w:tblGrid>
      <w:tr w:rsidR="00F76AD0" w:rsidRPr="00F76AD0" w14:paraId="5179D33F" w14:textId="77777777" w:rsidTr="00602FD0">
        <w:trPr>
          <w:cantSplit/>
          <w:trHeight w:val="255"/>
          <w:tblHeader/>
        </w:trPr>
        <w:tc>
          <w:tcPr>
            <w:tcW w:w="1457" w:type="dxa"/>
            <w:tcBorders>
              <w:top w:val="single" w:sz="4" w:space="0" w:color="auto"/>
              <w:left w:val="nil"/>
              <w:bottom w:val="nil"/>
              <w:right w:val="single" w:sz="4" w:space="0" w:color="auto"/>
            </w:tcBorders>
            <w:shd w:val="clear" w:color="auto" w:fill="auto"/>
            <w:noWrap/>
            <w:vAlign w:val="bottom"/>
          </w:tcPr>
          <w:p w14:paraId="3DF7D183" w14:textId="77777777" w:rsidR="00F76AD0" w:rsidRPr="00F76AD0" w:rsidRDefault="00F76AD0" w:rsidP="00F76AD0">
            <w:pPr>
              <w:shd w:val="clear" w:color="auto" w:fill="FFFFFF"/>
              <w:spacing w:after="0"/>
              <w:rPr>
                <w:rFonts w:eastAsia="Times New Roman" w:cs="Times New Roman"/>
                <w:b/>
                <w:color w:val="4A4A4A"/>
                <w:sz w:val="21"/>
                <w:szCs w:val="21"/>
                <w:lang w:eastAsia="en-GB"/>
              </w:rPr>
            </w:pPr>
          </w:p>
        </w:tc>
        <w:tc>
          <w:tcPr>
            <w:tcW w:w="5773" w:type="dxa"/>
            <w:gridSpan w:val="6"/>
            <w:tcBorders>
              <w:top w:val="single" w:sz="4" w:space="0" w:color="auto"/>
              <w:left w:val="single" w:sz="4" w:space="0" w:color="auto"/>
              <w:bottom w:val="nil"/>
              <w:right w:val="nil"/>
            </w:tcBorders>
            <w:shd w:val="clear" w:color="auto" w:fill="auto"/>
            <w:noWrap/>
            <w:vAlign w:val="bottom"/>
          </w:tcPr>
          <w:p w14:paraId="672D5745" w14:textId="77777777" w:rsidR="00F76AD0" w:rsidRPr="00F76AD0" w:rsidRDefault="00F76AD0" w:rsidP="00F76AD0">
            <w:pPr>
              <w:shd w:val="clear" w:color="auto" w:fill="FFFFFF"/>
              <w:spacing w:after="0"/>
              <w:rPr>
                <w:rFonts w:eastAsia="Times New Roman" w:cs="Times New Roman"/>
                <w:b/>
                <w:color w:val="4A4A4A"/>
                <w:sz w:val="21"/>
                <w:szCs w:val="21"/>
                <w:lang w:eastAsia="en-GB"/>
              </w:rPr>
            </w:pPr>
            <w:r w:rsidRPr="00F76AD0">
              <w:rPr>
                <w:rFonts w:eastAsia="Times New Roman" w:cs="Times New Roman"/>
                <w:b/>
                <w:color w:val="4A4A4A"/>
                <w:sz w:val="21"/>
                <w:szCs w:val="21"/>
                <w:lang w:eastAsia="en-GB"/>
              </w:rPr>
              <w:t>Percentage (%) Ocean science expenditure of GERD</w:t>
            </w:r>
          </w:p>
        </w:tc>
      </w:tr>
      <w:tr w:rsidR="00F76AD0" w:rsidRPr="00F76AD0" w14:paraId="3EEA9964" w14:textId="77777777" w:rsidTr="00602FD0">
        <w:trPr>
          <w:cantSplit/>
          <w:trHeight w:val="255"/>
          <w:tblHeader/>
        </w:trPr>
        <w:tc>
          <w:tcPr>
            <w:tcW w:w="1457" w:type="dxa"/>
            <w:tcBorders>
              <w:top w:val="nil"/>
              <w:left w:val="nil"/>
              <w:bottom w:val="single" w:sz="4" w:space="0" w:color="auto"/>
              <w:right w:val="single" w:sz="4" w:space="0" w:color="auto"/>
            </w:tcBorders>
            <w:shd w:val="clear" w:color="auto" w:fill="auto"/>
            <w:noWrap/>
            <w:vAlign w:val="bottom"/>
            <w:hideMark/>
          </w:tcPr>
          <w:p w14:paraId="49AA0847" w14:textId="77777777" w:rsidR="00F76AD0" w:rsidRPr="00F76AD0" w:rsidRDefault="00F76AD0" w:rsidP="00F76AD0">
            <w:pPr>
              <w:shd w:val="clear" w:color="auto" w:fill="FFFFFF"/>
              <w:spacing w:after="0"/>
              <w:rPr>
                <w:rFonts w:eastAsia="Times New Roman" w:cs="Times New Roman"/>
                <w:b/>
                <w:color w:val="4A4A4A"/>
                <w:sz w:val="21"/>
                <w:szCs w:val="21"/>
                <w:lang w:eastAsia="en-GB"/>
              </w:rPr>
            </w:pPr>
            <w:r w:rsidRPr="00F76AD0">
              <w:rPr>
                <w:rFonts w:eastAsia="Times New Roman" w:cs="Times New Roman"/>
                <w:b/>
                <w:color w:val="4A4A4A"/>
                <w:sz w:val="21"/>
                <w:szCs w:val="21"/>
                <w:lang w:eastAsia="en-GB"/>
              </w:rPr>
              <w:t>Country</w:t>
            </w:r>
          </w:p>
        </w:tc>
        <w:tc>
          <w:tcPr>
            <w:tcW w:w="1095" w:type="dxa"/>
            <w:tcBorders>
              <w:top w:val="nil"/>
              <w:left w:val="single" w:sz="4" w:space="0" w:color="auto"/>
              <w:bottom w:val="single" w:sz="4" w:space="0" w:color="auto"/>
              <w:right w:val="nil"/>
            </w:tcBorders>
            <w:shd w:val="clear" w:color="auto" w:fill="auto"/>
            <w:noWrap/>
            <w:vAlign w:val="bottom"/>
            <w:hideMark/>
          </w:tcPr>
          <w:p w14:paraId="1B0C7751" w14:textId="77777777" w:rsidR="00F76AD0" w:rsidRPr="00F76AD0" w:rsidRDefault="00F76AD0" w:rsidP="00F76AD0">
            <w:pPr>
              <w:shd w:val="clear" w:color="auto" w:fill="FFFFFF"/>
              <w:spacing w:after="0"/>
              <w:rPr>
                <w:rFonts w:eastAsia="Times New Roman" w:cs="Times New Roman"/>
                <w:b/>
                <w:color w:val="4A4A4A"/>
                <w:sz w:val="21"/>
                <w:szCs w:val="21"/>
                <w:lang w:eastAsia="en-GB"/>
              </w:rPr>
            </w:pPr>
            <w:r w:rsidRPr="00F76AD0">
              <w:rPr>
                <w:rFonts w:eastAsia="Times New Roman" w:cs="Times New Roman"/>
                <w:b/>
                <w:color w:val="4A4A4A"/>
                <w:sz w:val="21"/>
                <w:szCs w:val="21"/>
                <w:lang w:eastAsia="en-GB"/>
              </w:rPr>
              <w:t>Average 2009-2013</w:t>
            </w:r>
          </w:p>
        </w:tc>
        <w:tc>
          <w:tcPr>
            <w:tcW w:w="992" w:type="dxa"/>
            <w:tcBorders>
              <w:top w:val="nil"/>
              <w:left w:val="nil"/>
              <w:bottom w:val="single" w:sz="4" w:space="0" w:color="auto"/>
              <w:right w:val="nil"/>
            </w:tcBorders>
            <w:shd w:val="clear" w:color="auto" w:fill="auto"/>
            <w:noWrap/>
            <w:vAlign w:val="bottom"/>
            <w:hideMark/>
          </w:tcPr>
          <w:p w14:paraId="484A2B01" w14:textId="77777777" w:rsidR="00F76AD0" w:rsidRPr="00F76AD0" w:rsidRDefault="00F76AD0" w:rsidP="00F76AD0">
            <w:pPr>
              <w:shd w:val="clear" w:color="auto" w:fill="FFFFFF"/>
              <w:spacing w:after="0"/>
              <w:rPr>
                <w:rFonts w:eastAsia="Times New Roman" w:cs="Times New Roman"/>
                <w:b/>
                <w:color w:val="4A4A4A"/>
                <w:sz w:val="21"/>
                <w:szCs w:val="21"/>
                <w:lang w:eastAsia="en-GB"/>
              </w:rPr>
            </w:pPr>
            <w:r w:rsidRPr="00F76AD0">
              <w:rPr>
                <w:rFonts w:eastAsia="Times New Roman" w:cs="Times New Roman"/>
                <w:b/>
                <w:color w:val="4A4A4A"/>
                <w:sz w:val="21"/>
                <w:szCs w:val="21"/>
                <w:lang w:eastAsia="en-GB"/>
              </w:rPr>
              <w:t>2009</w:t>
            </w:r>
          </w:p>
        </w:tc>
        <w:tc>
          <w:tcPr>
            <w:tcW w:w="851" w:type="dxa"/>
            <w:tcBorders>
              <w:top w:val="nil"/>
              <w:left w:val="nil"/>
              <w:bottom w:val="single" w:sz="4" w:space="0" w:color="auto"/>
              <w:right w:val="nil"/>
            </w:tcBorders>
            <w:shd w:val="clear" w:color="auto" w:fill="auto"/>
            <w:noWrap/>
            <w:vAlign w:val="bottom"/>
            <w:hideMark/>
          </w:tcPr>
          <w:p w14:paraId="60609144" w14:textId="77777777" w:rsidR="00F76AD0" w:rsidRPr="00F76AD0" w:rsidRDefault="00F76AD0" w:rsidP="00F76AD0">
            <w:pPr>
              <w:shd w:val="clear" w:color="auto" w:fill="FFFFFF"/>
              <w:spacing w:after="0"/>
              <w:rPr>
                <w:rFonts w:eastAsia="Times New Roman" w:cs="Times New Roman"/>
                <w:b/>
                <w:color w:val="4A4A4A"/>
                <w:sz w:val="21"/>
                <w:szCs w:val="21"/>
                <w:lang w:eastAsia="en-GB"/>
              </w:rPr>
            </w:pPr>
            <w:r w:rsidRPr="00F76AD0">
              <w:rPr>
                <w:rFonts w:eastAsia="Times New Roman" w:cs="Times New Roman"/>
                <w:b/>
                <w:color w:val="4A4A4A"/>
                <w:sz w:val="21"/>
                <w:szCs w:val="21"/>
                <w:lang w:eastAsia="en-GB"/>
              </w:rPr>
              <w:t>2010</w:t>
            </w:r>
          </w:p>
        </w:tc>
        <w:tc>
          <w:tcPr>
            <w:tcW w:w="992" w:type="dxa"/>
            <w:tcBorders>
              <w:top w:val="nil"/>
              <w:left w:val="nil"/>
              <w:bottom w:val="single" w:sz="4" w:space="0" w:color="auto"/>
              <w:right w:val="nil"/>
            </w:tcBorders>
            <w:shd w:val="clear" w:color="auto" w:fill="auto"/>
            <w:noWrap/>
            <w:vAlign w:val="bottom"/>
            <w:hideMark/>
          </w:tcPr>
          <w:p w14:paraId="73B1B79D" w14:textId="77777777" w:rsidR="00F76AD0" w:rsidRPr="00F76AD0" w:rsidRDefault="00F76AD0" w:rsidP="00F76AD0">
            <w:pPr>
              <w:shd w:val="clear" w:color="auto" w:fill="FFFFFF"/>
              <w:spacing w:after="0"/>
              <w:rPr>
                <w:rFonts w:eastAsia="Times New Roman" w:cs="Times New Roman"/>
                <w:b/>
                <w:color w:val="4A4A4A"/>
                <w:sz w:val="21"/>
                <w:szCs w:val="21"/>
                <w:lang w:eastAsia="en-GB"/>
              </w:rPr>
            </w:pPr>
            <w:r w:rsidRPr="00F76AD0">
              <w:rPr>
                <w:rFonts w:eastAsia="Times New Roman" w:cs="Times New Roman"/>
                <w:b/>
                <w:color w:val="4A4A4A"/>
                <w:sz w:val="21"/>
                <w:szCs w:val="21"/>
                <w:lang w:eastAsia="en-GB"/>
              </w:rPr>
              <w:t>2011</w:t>
            </w:r>
          </w:p>
        </w:tc>
        <w:tc>
          <w:tcPr>
            <w:tcW w:w="992" w:type="dxa"/>
            <w:tcBorders>
              <w:top w:val="nil"/>
              <w:left w:val="nil"/>
              <w:bottom w:val="single" w:sz="4" w:space="0" w:color="auto"/>
              <w:right w:val="nil"/>
            </w:tcBorders>
            <w:shd w:val="clear" w:color="auto" w:fill="auto"/>
            <w:noWrap/>
            <w:vAlign w:val="bottom"/>
            <w:hideMark/>
          </w:tcPr>
          <w:p w14:paraId="03DE010B" w14:textId="77777777" w:rsidR="00F76AD0" w:rsidRPr="00F76AD0" w:rsidRDefault="00F76AD0" w:rsidP="00F76AD0">
            <w:pPr>
              <w:shd w:val="clear" w:color="auto" w:fill="FFFFFF"/>
              <w:spacing w:after="0"/>
              <w:rPr>
                <w:rFonts w:eastAsia="Times New Roman" w:cs="Times New Roman"/>
                <w:b/>
                <w:color w:val="4A4A4A"/>
                <w:sz w:val="21"/>
                <w:szCs w:val="21"/>
                <w:lang w:eastAsia="en-GB"/>
              </w:rPr>
            </w:pPr>
            <w:r w:rsidRPr="00F76AD0">
              <w:rPr>
                <w:rFonts w:eastAsia="Times New Roman" w:cs="Times New Roman"/>
                <w:b/>
                <w:color w:val="4A4A4A"/>
                <w:sz w:val="21"/>
                <w:szCs w:val="21"/>
                <w:lang w:eastAsia="en-GB"/>
              </w:rPr>
              <w:t>2012</w:t>
            </w:r>
          </w:p>
        </w:tc>
        <w:tc>
          <w:tcPr>
            <w:tcW w:w="851" w:type="dxa"/>
            <w:tcBorders>
              <w:top w:val="nil"/>
              <w:left w:val="nil"/>
              <w:bottom w:val="single" w:sz="4" w:space="0" w:color="auto"/>
              <w:right w:val="nil"/>
            </w:tcBorders>
            <w:shd w:val="clear" w:color="auto" w:fill="auto"/>
            <w:noWrap/>
            <w:vAlign w:val="bottom"/>
            <w:hideMark/>
          </w:tcPr>
          <w:p w14:paraId="76DAB1F9" w14:textId="77777777" w:rsidR="00F76AD0" w:rsidRPr="00F76AD0" w:rsidRDefault="00F76AD0" w:rsidP="00F76AD0">
            <w:pPr>
              <w:shd w:val="clear" w:color="auto" w:fill="FFFFFF"/>
              <w:spacing w:after="0"/>
              <w:rPr>
                <w:rFonts w:eastAsia="Times New Roman" w:cs="Times New Roman"/>
                <w:b/>
                <w:color w:val="4A4A4A"/>
                <w:sz w:val="21"/>
                <w:szCs w:val="21"/>
                <w:lang w:eastAsia="en-GB"/>
              </w:rPr>
            </w:pPr>
            <w:r w:rsidRPr="00F76AD0">
              <w:rPr>
                <w:rFonts w:eastAsia="Times New Roman" w:cs="Times New Roman"/>
                <w:b/>
                <w:color w:val="4A4A4A"/>
                <w:sz w:val="21"/>
                <w:szCs w:val="21"/>
                <w:lang w:eastAsia="en-GB"/>
              </w:rPr>
              <w:t>2013</w:t>
            </w:r>
          </w:p>
        </w:tc>
      </w:tr>
      <w:tr w:rsidR="00F76AD0" w:rsidRPr="00F76AD0" w14:paraId="64CFB314" w14:textId="77777777" w:rsidTr="00602FD0">
        <w:trPr>
          <w:trHeight w:val="255"/>
        </w:trPr>
        <w:tc>
          <w:tcPr>
            <w:tcW w:w="1457" w:type="dxa"/>
            <w:tcBorders>
              <w:top w:val="single" w:sz="4" w:space="0" w:color="auto"/>
              <w:left w:val="nil"/>
              <w:bottom w:val="nil"/>
              <w:right w:val="single" w:sz="4" w:space="0" w:color="auto"/>
            </w:tcBorders>
            <w:shd w:val="clear" w:color="auto" w:fill="auto"/>
            <w:noWrap/>
            <w:vAlign w:val="bottom"/>
            <w:hideMark/>
          </w:tcPr>
          <w:p w14:paraId="490B5596"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Argentina</w:t>
            </w:r>
          </w:p>
        </w:tc>
        <w:tc>
          <w:tcPr>
            <w:tcW w:w="1095" w:type="dxa"/>
            <w:tcBorders>
              <w:top w:val="single" w:sz="4" w:space="0" w:color="auto"/>
              <w:left w:val="single" w:sz="4" w:space="0" w:color="auto"/>
              <w:bottom w:val="nil"/>
              <w:right w:val="nil"/>
            </w:tcBorders>
            <w:shd w:val="clear" w:color="auto" w:fill="auto"/>
            <w:noWrap/>
            <w:vAlign w:val="bottom"/>
            <w:hideMark/>
          </w:tcPr>
          <w:p w14:paraId="52DF478A"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0.16</w:t>
            </w:r>
          </w:p>
        </w:tc>
        <w:tc>
          <w:tcPr>
            <w:tcW w:w="992" w:type="dxa"/>
            <w:tcBorders>
              <w:top w:val="single" w:sz="4" w:space="0" w:color="auto"/>
              <w:left w:val="nil"/>
              <w:bottom w:val="nil"/>
              <w:right w:val="nil"/>
            </w:tcBorders>
            <w:shd w:val="clear" w:color="auto" w:fill="auto"/>
            <w:noWrap/>
            <w:vAlign w:val="bottom"/>
            <w:hideMark/>
          </w:tcPr>
          <w:p w14:paraId="5AC8502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0.11</w:t>
            </w:r>
          </w:p>
        </w:tc>
        <w:tc>
          <w:tcPr>
            <w:tcW w:w="851" w:type="dxa"/>
            <w:tcBorders>
              <w:top w:val="single" w:sz="4" w:space="0" w:color="auto"/>
              <w:left w:val="nil"/>
              <w:bottom w:val="nil"/>
              <w:right w:val="nil"/>
            </w:tcBorders>
            <w:shd w:val="clear" w:color="auto" w:fill="auto"/>
            <w:noWrap/>
            <w:vAlign w:val="bottom"/>
            <w:hideMark/>
          </w:tcPr>
          <w:p w14:paraId="51B6B10B"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0.14</w:t>
            </w:r>
          </w:p>
        </w:tc>
        <w:tc>
          <w:tcPr>
            <w:tcW w:w="992" w:type="dxa"/>
            <w:tcBorders>
              <w:top w:val="single" w:sz="4" w:space="0" w:color="auto"/>
              <w:left w:val="nil"/>
              <w:bottom w:val="nil"/>
              <w:right w:val="nil"/>
            </w:tcBorders>
            <w:shd w:val="clear" w:color="auto" w:fill="auto"/>
            <w:noWrap/>
            <w:vAlign w:val="bottom"/>
            <w:hideMark/>
          </w:tcPr>
          <w:p w14:paraId="68B2CF8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0.15</w:t>
            </w:r>
          </w:p>
        </w:tc>
        <w:tc>
          <w:tcPr>
            <w:tcW w:w="992" w:type="dxa"/>
            <w:tcBorders>
              <w:top w:val="single" w:sz="4" w:space="0" w:color="auto"/>
              <w:left w:val="nil"/>
              <w:bottom w:val="nil"/>
              <w:right w:val="nil"/>
            </w:tcBorders>
            <w:shd w:val="clear" w:color="auto" w:fill="auto"/>
            <w:noWrap/>
            <w:vAlign w:val="bottom"/>
            <w:hideMark/>
          </w:tcPr>
          <w:p w14:paraId="2ED07AC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0.23</w:t>
            </w:r>
          </w:p>
        </w:tc>
        <w:tc>
          <w:tcPr>
            <w:tcW w:w="851" w:type="dxa"/>
            <w:tcBorders>
              <w:top w:val="single" w:sz="4" w:space="0" w:color="auto"/>
              <w:left w:val="nil"/>
              <w:bottom w:val="nil"/>
              <w:right w:val="nil"/>
            </w:tcBorders>
            <w:shd w:val="clear" w:color="auto" w:fill="auto"/>
            <w:noWrap/>
            <w:vAlign w:val="bottom"/>
            <w:hideMark/>
          </w:tcPr>
          <w:p w14:paraId="0F0242F7"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r w:rsidR="00F76AD0" w:rsidRPr="00F76AD0" w14:paraId="79AD5FB3"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0F15ECB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Australia</w:t>
            </w:r>
          </w:p>
        </w:tc>
        <w:tc>
          <w:tcPr>
            <w:tcW w:w="1095" w:type="dxa"/>
            <w:tcBorders>
              <w:top w:val="nil"/>
              <w:left w:val="single" w:sz="4" w:space="0" w:color="auto"/>
              <w:bottom w:val="nil"/>
              <w:right w:val="nil"/>
            </w:tcBorders>
            <w:shd w:val="clear" w:color="000000" w:fill="FFE699"/>
            <w:noWrap/>
            <w:vAlign w:val="bottom"/>
            <w:hideMark/>
          </w:tcPr>
          <w:p w14:paraId="572627C1"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0.74</w:t>
            </w:r>
          </w:p>
        </w:tc>
        <w:tc>
          <w:tcPr>
            <w:tcW w:w="992" w:type="dxa"/>
            <w:tcBorders>
              <w:top w:val="nil"/>
              <w:left w:val="nil"/>
              <w:bottom w:val="nil"/>
              <w:right w:val="nil"/>
            </w:tcBorders>
            <w:shd w:val="clear" w:color="auto" w:fill="auto"/>
            <w:noWrap/>
            <w:vAlign w:val="bottom"/>
            <w:hideMark/>
          </w:tcPr>
          <w:p w14:paraId="6DCFEEB4"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000000" w:fill="FFE699"/>
            <w:noWrap/>
            <w:vAlign w:val="bottom"/>
            <w:hideMark/>
          </w:tcPr>
          <w:p w14:paraId="5D055631"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0.72</w:t>
            </w:r>
          </w:p>
        </w:tc>
        <w:tc>
          <w:tcPr>
            <w:tcW w:w="992" w:type="dxa"/>
            <w:tcBorders>
              <w:top w:val="nil"/>
              <w:left w:val="nil"/>
              <w:bottom w:val="nil"/>
              <w:right w:val="nil"/>
            </w:tcBorders>
            <w:shd w:val="clear" w:color="000000" w:fill="FFE699"/>
            <w:noWrap/>
            <w:vAlign w:val="bottom"/>
            <w:hideMark/>
          </w:tcPr>
          <w:p w14:paraId="30C877BC"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0.76</w:t>
            </w:r>
          </w:p>
        </w:tc>
        <w:tc>
          <w:tcPr>
            <w:tcW w:w="992" w:type="dxa"/>
            <w:tcBorders>
              <w:top w:val="nil"/>
              <w:left w:val="nil"/>
              <w:bottom w:val="nil"/>
              <w:right w:val="nil"/>
            </w:tcBorders>
            <w:shd w:val="clear" w:color="auto" w:fill="auto"/>
            <w:noWrap/>
            <w:vAlign w:val="bottom"/>
            <w:hideMark/>
          </w:tcPr>
          <w:p w14:paraId="15A62A49"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22B0F4D5"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r w:rsidR="00F76AD0" w:rsidRPr="00F76AD0" w14:paraId="0657F07A"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0B3D4B7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Belgium</w:t>
            </w:r>
          </w:p>
        </w:tc>
        <w:tc>
          <w:tcPr>
            <w:tcW w:w="1095" w:type="dxa"/>
            <w:tcBorders>
              <w:top w:val="nil"/>
              <w:left w:val="single" w:sz="4" w:space="0" w:color="auto"/>
              <w:bottom w:val="nil"/>
              <w:right w:val="nil"/>
            </w:tcBorders>
            <w:shd w:val="clear" w:color="auto" w:fill="auto"/>
            <w:noWrap/>
            <w:vAlign w:val="bottom"/>
            <w:hideMark/>
          </w:tcPr>
          <w:p w14:paraId="4983F9CE"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0.07</w:t>
            </w:r>
          </w:p>
        </w:tc>
        <w:tc>
          <w:tcPr>
            <w:tcW w:w="992" w:type="dxa"/>
            <w:tcBorders>
              <w:top w:val="nil"/>
              <w:left w:val="nil"/>
              <w:bottom w:val="nil"/>
              <w:right w:val="nil"/>
            </w:tcBorders>
            <w:shd w:val="clear" w:color="auto" w:fill="auto"/>
            <w:noWrap/>
            <w:vAlign w:val="bottom"/>
            <w:hideMark/>
          </w:tcPr>
          <w:p w14:paraId="67131FD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0.10</w:t>
            </w:r>
          </w:p>
        </w:tc>
        <w:tc>
          <w:tcPr>
            <w:tcW w:w="851" w:type="dxa"/>
            <w:tcBorders>
              <w:top w:val="nil"/>
              <w:left w:val="nil"/>
              <w:bottom w:val="nil"/>
              <w:right w:val="nil"/>
            </w:tcBorders>
            <w:shd w:val="clear" w:color="auto" w:fill="auto"/>
            <w:noWrap/>
            <w:vAlign w:val="bottom"/>
            <w:hideMark/>
          </w:tcPr>
          <w:p w14:paraId="63B84F71"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0.07</w:t>
            </w:r>
          </w:p>
        </w:tc>
        <w:tc>
          <w:tcPr>
            <w:tcW w:w="992" w:type="dxa"/>
            <w:tcBorders>
              <w:top w:val="nil"/>
              <w:left w:val="nil"/>
              <w:bottom w:val="nil"/>
              <w:right w:val="nil"/>
            </w:tcBorders>
            <w:shd w:val="clear" w:color="auto" w:fill="auto"/>
            <w:noWrap/>
            <w:vAlign w:val="bottom"/>
            <w:hideMark/>
          </w:tcPr>
          <w:p w14:paraId="30CC9CE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0.05</w:t>
            </w:r>
          </w:p>
        </w:tc>
        <w:tc>
          <w:tcPr>
            <w:tcW w:w="992" w:type="dxa"/>
            <w:tcBorders>
              <w:top w:val="nil"/>
              <w:left w:val="nil"/>
              <w:bottom w:val="nil"/>
              <w:right w:val="nil"/>
            </w:tcBorders>
            <w:shd w:val="clear" w:color="auto" w:fill="auto"/>
            <w:noWrap/>
            <w:vAlign w:val="bottom"/>
            <w:hideMark/>
          </w:tcPr>
          <w:p w14:paraId="34AD527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0.05</w:t>
            </w:r>
          </w:p>
        </w:tc>
        <w:tc>
          <w:tcPr>
            <w:tcW w:w="851" w:type="dxa"/>
            <w:tcBorders>
              <w:top w:val="nil"/>
              <w:left w:val="nil"/>
              <w:bottom w:val="nil"/>
              <w:right w:val="nil"/>
            </w:tcBorders>
            <w:shd w:val="clear" w:color="auto" w:fill="auto"/>
            <w:noWrap/>
            <w:vAlign w:val="bottom"/>
            <w:hideMark/>
          </w:tcPr>
          <w:p w14:paraId="784190AB"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r w:rsidR="00F76AD0" w:rsidRPr="00F76AD0" w14:paraId="33C36938"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76B131A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Canada (DFO)</w:t>
            </w:r>
          </w:p>
        </w:tc>
        <w:tc>
          <w:tcPr>
            <w:tcW w:w="1095" w:type="dxa"/>
            <w:tcBorders>
              <w:top w:val="nil"/>
              <w:left w:val="single" w:sz="4" w:space="0" w:color="auto"/>
              <w:bottom w:val="nil"/>
              <w:right w:val="nil"/>
            </w:tcBorders>
            <w:shd w:val="clear" w:color="000000" w:fill="FFE699"/>
            <w:noWrap/>
            <w:vAlign w:val="bottom"/>
            <w:hideMark/>
          </w:tcPr>
          <w:p w14:paraId="06CA38B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0.54</w:t>
            </w:r>
          </w:p>
        </w:tc>
        <w:tc>
          <w:tcPr>
            <w:tcW w:w="992" w:type="dxa"/>
            <w:tcBorders>
              <w:top w:val="nil"/>
              <w:left w:val="nil"/>
              <w:bottom w:val="nil"/>
              <w:right w:val="nil"/>
            </w:tcBorders>
            <w:shd w:val="clear" w:color="000000" w:fill="FFE699"/>
            <w:noWrap/>
            <w:vAlign w:val="bottom"/>
            <w:hideMark/>
          </w:tcPr>
          <w:p w14:paraId="16EDCF8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0.51</w:t>
            </w:r>
          </w:p>
        </w:tc>
        <w:tc>
          <w:tcPr>
            <w:tcW w:w="851" w:type="dxa"/>
            <w:tcBorders>
              <w:top w:val="nil"/>
              <w:left w:val="nil"/>
              <w:bottom w:val="nil"/>
              <w:right w:val="nil"/>
            </w:tcBorders>
            <w:shd w:val="clear" w:color="000000" w:fill="FFE699"/>
            <w:noWrap/>
            <w:vAlign w:val="bottom"/>
            <w:hideMark/>
          </w:tcPr>
          <w:p w14:paraId="3C3EE667"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0.54</w:t>
            </w:r>
          </w:p>
        </w:tc>
        <w:tc>
          <w:tcPr>
            <w:tcW w:w="992" w:type="dxa"/>
            <w:tcBorders>
              <w:top w:val="nil"/>
              <w:left w:val="nil"/>
              <w:bottom w:val="nil"/>
              <w:right w:val="nil"/>
            </w:tcBorders>
            <w:shd w:val="clear" w:color="000000" w:fill="FFE699"/>
            <w:noWrap/>
            <w:vAlign w:val="bottom"/>
            <w:hideMark/>
          </w:tcPr>
          <w:p w14:paraId="5419C307"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0.60</w:t>
            </w:r>
          </w:p>
        </w:tc>
        <w:tc>
          <w:tcPr>
            <w:tcW w:w="992" w:type="dxa"/>
            <w:tcBorders>
              <w:top w:val="nil"/>
              <w:left w:val="nil"/>
              <w:bottom w:val="nil"/>
              <w:right w:val="nil"/>
            </w:tcBorders>
            <w:shd w:val="clear" w:color="000000" w:fill="FFE699"/>
            <w:noWrap/>
            <w:vAlign w:val="bottom"/>
            <w:hideMark/>
          </w:tcPr>
          <w:p w14:paraId="7B5BB39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0.54</w:t>
            </w:r>
          </w:p>
        </w:tc>
        <w:tc>
          <w:tcPr>
            <w:tcW w:w="851" w:type="dxa"/>
            <w:tcBorders>
              <w:top w:val="nil"/>
              <w:left w:val="nil"/>
              <w:bottom w:val="nil"/>
              <w:right w:val="nil"/>
            </w:tcBorders>
            <w:shd w:val="clear" w:color="000000" w:fill="FFE699"/>
            <w:noWrap/>
            <w:vAlign w:val="bottom"/>
            <w:hideMark/>
          </w:tcPr>
          <w:p w14:paraId="08049B3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0.53</w:t>
            </w:r>
          </w:p>
        </w:tc>
      </w:tr>
      <w:tr w:rsidR="00F76AD0" w:rsidRPr="00F76AD0" w14:paraId="51BF5475"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6AA853D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Chile</w:t>
            </w:r>
          </w:p>
        </w:tc>
        <w:tc>
          <w:tcPr>
            <w:tcW w:w="1095" w:type="dxa"/>
            <w:tcBorders>
              <w:top w:val="nil"/>
              <w:left w:val="single" w:sz="4" w:space="0" w:color="auto"/>
              <w:bottom w:val="nil"/>
              <w:right w:val="nil"/>
            </w:tcBorders>
            <w:shd w:val="clear" w:color="auto" w:fill="auto"/>
            <w:noWrap/>
            <w:vAlign w:val="bottom"/>
            <w:hideMark/>
          </w:tcPr>
          <w:p w14:paraId="56A48E4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0.20</w:t>
            </w:r>
          </w:p>
        </w:tc>
        <w:tc>
          <w:tcPr>
            <w:tcW w:w="992" w:type="dxa"/>
            <w:tcBorders>
              <w:top w:val="nil"/>
              <w:left w:val="nil"/>
              <w:bottom w:val="nil"/>
              <w:right w:val="nil"/>
            </w:tcBorders>
            <w:shd w:val="clear" w:color="auto" w:fill="auto"/>
            <w:noWrap/>
            <w:vAlign w:val="bottom"/>
            <w:hideMark/>
          </w:tcPr>
          <w:p w14:paraId="01F2543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0.36</w:t>
            </w:r>
          </w:p>
        </w:tc>
        <w:tc>
          <w:tcPr>
            <w:tcW w:w="851" w:type="dxa"/>
            <w:tcBorders>
              <w:top w:val="nil"/>
              <w:left w:val="nil"/>
              <w:bottom w:val="nil"/>
              <w:right w:val="nil"/>
            </w:tcBorders>
            <w:shd w:val="clear" w:color="auto" w:fill="auto"/>
            <w:noWrap/>
            <w:vAlign w:val="bottom"/>
            <w:hideMark/>
          </w:tcPr>
          <w:p w14:paraId="4894A9F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0.11</w:t>
            </w:r>
          </w:p>
        </w:tc>
        <w:tc>
          <w:tcPr>
            <w:tcW w:w="992" w:type="dxa"/>
            <w:tcBorders>
              <w:top w:val="nil"/>
              <w:left w:val="nil"/>
              <w:bottom w:val="nil"/>
              <w:right w:val="nil"/>
            </w:tcBorders>
            <w:shd w:val="clear" w:color="auto" w:fill="auto"/>
            <w:noWrap/>
            <w:vAlign w:val="bottom"/>
            <w:hideMark/>
          </w:tcPr>
          <w:p w14:paraId="0A48BA6E"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0.15</w:t>
            </w:r>
          </w:p>
        </w:tc>
        <w:tc>
          <w:tcPr>
            <w:tcW w:w="992" w:type="dxa"/>
            <w:tcBorders>
              <w:top w:val="nil"/>
              <w:left w:val="nil"/>
              <w:bottom w:val="nil"/>
              <w:right w:val="nil"/>
            </w:tcBorders>
            <w:shd w:val="clear" w:color="auto" w:fill="auto"/>
            <w:noWrap/>
            <w:vAlign w:val="bottom"/>
            <w:hideMark/>
          </w:tcPr>
          <w:p w14:paraId="2324CEB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0.20</w:t>
            </w:r>
          </w:p>
        </w:tc>
        <w:tc>
          <w:tcPr>
            <w:tcW w:w="851" w:type="dxa"/>
            <w:tcBorders>
              <w:top w:val="nil"/>
              <w:left w:val="nil"/>
              <w:bottom w:val="nil"/>
              <w:right w:val="nil"/>
            </w:tcBorders>
            <w:shd w:val="clear" w:color="auto" w:fill="auto"/>
            <w:noWrap/>
            <w:vAlign w:val="bottom"/>
            <w:hideMark/>
          </w:tcPr>
          <w:p w14:paraId="561A8078"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r w:rsidR="00F76AD0" w:rsidRPr="00F76AD0" w14:paraId="2F547BDD"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3417F6AE"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Colombia</w:t>
            </w:r>
          </w:p>
        </w:tc>
        <w:tc>
          <w:tcPr>
            <w:tcW w:w="1095" w:type="dxa"/>
            <w:tcBorders>
              <w:top w:val="nil"/>
              <w:left w:val="single" w:sz="4" w:space="0" w:color="auto"/>
              <w:bottom w:val="nil"/>
              <w:right w:val="nil"/>
            </w:tcBorders>
            <w:shd w:val="clear" w:color="auto" w:fill="auto"/>
            <w:noWrap/>
            <w:vAlign w:val="bottom"/>
            <w:hideMark/>
          </w:tcPr>
          <w:p w14:paraId="165F337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0.39</w:t>
            </w:r>
          </w:p>
        </w:tc>
        <w:tc>
          <w:tcPr>
            <w:tcW w:w="992" w:type="dxa"/>
            <w:tcBorders>
              <w:top w:val="nil"/>
              <w:left w:val="nil"/>
              <w:bottom w:val="nil"/>
              <w:right w:val="nil"/>
            </w:tcBorders>
            <w:shd w:val="clear" w:color="auto" w:fill="auto"/>
            <w:noWrap/>
            <w:vAlign w:val="bottom"/>
            <w:hideMark/>
          </w:tcPr>
          <w:p w14:paraId="5D458C21"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0.40</w:t>
            </w:r>
          </w:p>
        </w:tc>
        <w:tc>
          <w:tcPr>
            <w:tcW w:w="851" w:type="dxa"/>
            <w:tcBorders>
              <w:top w:val="nil"/>
              <w:left w:val="nil"/>
              <w:bottom w:val="nil"/>
              <w:right w:val="nil"/>
            </w:tcBorders>
            <w:shd w:val="clear" w:color="auto" w:fill="auto"/>
            <w:noWrap/>
            <w:vAlign w:val="bottom"/>
            <w:hideMark/>
          </w:tcPr>
          <w:p w14:paraId="501DC78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0.39</w:t>
            </w:r>
          </w:p>
        </w:tc>
        <w:tc>
          <w:tcPr>
            <w:tcW w:w="992" w:type="dxa"/>
            <w:tcBorders>
              <w:top w:val="nil"/>
              <w:left w:val="nil"/>
              <w:bottom w:val="nil"/>
              <w:right w:val="nil"/>
            </w:tcBorders>
            <w:shd w:val="clear" w:color="auto" w:fill="auto"/>
            <w:noWrap/>
            <w:vAlign w:val="bottom"/>
            <w:hideMark/>
          </w:tcPr>
          <w:p w14:paraId="217C2AFC"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0.43</w:t>
            </w:r>
          </w:p>
        </w:tc>
        <w:tc>
          <w:tcPr>
            <w:tcW w:w="992" w:type="dxa"/>
            <w:tcBorders>
              <w:top w:val="nil"/>
              <w:left w:val="nil"/>
              <w:bottom w:val="nil"/>
              <w:right w:val="nil"/>
            </w:tcBorders>
            <w:shd w:val="clear" w:color="auto" w:fill="auto"/>
            <w:noWrap/>
            <w:vAlign w:val="bottom"/>
            <w:hideMark/>
          </w:tcPr>
          <w:p w14:paraId="3389CE14"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0.36</w:t>
            </w:r>
          </w:p>
        </w:tc>
        <w:tc>
          <w:tcPr>
            <w:tcW w:w="851" w:type="dxa"/>
            <w:tcBorders>
              <w:top w:val="nil"/>
              <w:left w:val="nil"/>
              <w:bottom w:val="nil"/>
              <w:right w:val="nil"/>
            </w:tcBorders>
            <w:shd w:val="clear" w:color="auto" w:fill="auto"/>
            <w:noWrap/>
            <w:vAlign w:val="bottom"/>
            <w:hideMark/>
          </w:tcPr>
          <w:p w14:paraId="48B3A88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0.35</w:t>
            </w:r>
          </w:p>
        </w:tc>
      </w:tr>
      <w:tr w:rsidR="00F76AD0" w:rsidRPr="00F76AD0" w14:paraId="6E4BF32B"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572091B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Croatia</w:t>
            </w:r>
          </w:p>
        </w:tc>
        <w:tc>
          <w:tcPr>
            <w:tcW w:w="1095" w:type="dxa"/>
            <w:tcBorders>
              <w:top w:val="nil"/>
              <w:left w:val="single" w:sz="4" w:space="0" w:color="auto"/>
              <w:bottom w:val="nil"/>
              <w:right w:val="nil"/>
            </w:tcBorders>
            <w:shd w:val="clear" w:color="auto" w:fill="auto"/>
            <w:noWrap/>
            <w:vAlign w:val="bottom"/>
            <w:hideMark/>
          </w:tcPr>
          <w:p w14:paraId="17822D49"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78101844"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1C7FE53D"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718A0470"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56D92E21"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000000" w:fill="A9D08E"/>
            <w:noWrap/>
            <w:vAlign w:val="bottom"/>
            <w:hideMark/>
          </w:tcPr>
          <w:p w14:paraId="64CB822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4.73</w:t>
            </w:r>
          </w:p>
        </w:tc>
      </w:tr>
      <w:tr w:rsidR="00F76AD0" w:rsidRPr="00F76AD0" w14:paraId="3498CE3B"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72BCA7E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Ecuador</w:t>
            </w:r>
          </w:p>
        </w:tc>
        <w:tc>
          <w:tcPr>
            <w:tcW w:w="1095" w:type="dxa"/>
            <w:tcBorders>
              <w:top w:val="nil"/>
              <w:left w:val="single" w:sz="4" w:space="0" w:color="auto"/>
              <w:bottom w:val="nil"/>
              <w:right w:val="nil"/>
            </w:tcBorders>
            <w:shd w:val="clear" w:color="auto" w:fill="auto"/>
            <w:noWrap/>
            <w:vAlign w:val="bottom"/>
            <w:hideMark/>
          </w:tcPr>
          <w:p w14:paraId="4A81A5A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0.03</w:t>
            </w:r>
          </w:p>
        </w:tc>
        <w:tc>
          <w:tcPr>
            <w:tcW w:w="992" w:type="dxa"/>
            <w:tcBorders>
              <w:top w:val="nil"/>
              <w:left w:val="nil"/>
              <w:bottom w:val="nil"/>
              <w:right w:val="nil"/>
            </w:tcBorders>
            <w:shd w:val="clear" w:color="auto" w:fill="auto"/>
            <w:noWrap/>
            <w:vAlign w:val="bottom"/>
            <w:hideMark/>
          </w:tcPr>
          <w:p w14:paraId="6ABBD63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0.02</w:t>
            </w:r>
          </w:p>
        </w:tc>
        <w:tc>
          <w:tcPr>
            <w:tcW w:w="851" w:type="dxa"/>
            <w:tcBorders>
              <w:top w:val="nil"/>
              <w:left w:val="nil"/>
              <w:bottom w:val="nil"/>
              <w:right w:val="nil"/>
            </w:tcBorders>
            <w:shd w:val="clear" w:color="auto" w:fill="auto"/>
            <w:noWrap/>
            <w:vAlign w:val="bottom"/>
            <w:hideMark/>
          </w:tcPr>
          <w:p w14:paraId="43152BA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0.03</w:t>
            </w:r>
          </w:p>
        </w:tc>
        <w:tc>
          <w:tcPr>
            <w:tcW w:w="992" w:type="dxa"/>
            <w:tcBorders>
              <w:top w:val="nil"/>
              <w:left w:val="nil"/>
              <w:bottom w:val="nil"/>
              <w:right w:val="nil"/>
            </w:tcBorders>
            <w:shd w:val="clear" w:color="auto" w:fill="auto"/>
            <w:noWrap/>
            <w:vAlign w:val="bottom"/>
            <w:hideMark/>
          </w:tcPr>
          <w:p w14:paraId="1E38B0AA"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0.05</w:t>
            </w:r>
          </w:p>
        </w:tc>
        <w:tc>
          <w:tcPr>
            <w:tcW w:w="992" w:type="dxa"/>
            <w:tcBorders>
              <w:top w:val="nil"/>
              <w:left w:val="nil"/>
              <w:bottom w:val="nil"/>
              <w:right w:val="nil"/>
            </w:tcBorders>
            <w:shd w:val="clear" w:color="auto" w:fill="auto"/>
            <w:noWrap/>
            <w:vAlign w:val="bottom"/>
            <w:hideMark/>
          </w:tcPr>
          <w:p w14:paraId="7FDE1B0F"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06C0FC39"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r w:rsidR="00F76AD0" w:rsidRPr="00F76AD0" w14:paraId="18EABBCE"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652C77C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Finland</w:t>
            </w:r>
          </w:p>
        </w:tc>
        <w:tc>
          <w:tcPr>
            <w:tcW w:w="1095" w:type="dxa"/>
            <w:tcBorders>
              <w:top w:val="nil"/>
              <w:left w:val="single" w:sz="4" w:space="0" w:color="auto"/>
              <w:bottom w:val="nil"/>
              <w:right w:val="nil"/>
            </w:tcBorders>
            <w:shd w:val="clear" w:color="auto" w:fill="auto"/>
            <w:noWrap/>
            <w:vAlign w:val="bottom"/>
            <w:hideMark/>
          </w:tcPr>
          <w:p w14:paraId="75FB54DE"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0.14</w:t>
            </w:r>
          </w:p>
        </w:tc>
        <w:tc>
          <w:tcPr>
            <w:tcW w:w="992" w:type="dxa"/>
            <w:tcBorders>
              <w:top w:val="nil"/>
              <w:left w:val="nil"/>
              <w:bottom w:val="nil"/>
              <w:right w:val="nil"/>
            </w:tcBorders>
            <w:shd w:val="clear" w:color="auto" w:fill="auto"/>
            <w:noWrap/>
            <w:vAlign w:val="bottom"/>
            <w:hideMark/>
          </w:tcPr>
          <w:p w14:paraId="45F3D17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0.14</w:t>
            </w:r>
          </w:p>
        </w:tc>
        <w:tc>
          <w:tcPr>
            <w:tcW w:w="851" w:type="dxa"/>
            <w:tcBorders>
              <w:top w:val="nil"/>
              <w:left w:val="nil"/>
              <w:bottom w:val="nil"/>
              <w:right w:val="nil"/>
            </w:tcBorders>
            <w:shd w:val="clear" w:color="auto" w:fill="auto"/>
            <w:noWrap/>
            <w:vAlign w:val="bottom"/>
            <w:hideMark/>
          </w:tcPr>
          <w:p w14:paraId="35B7B62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0.16</w:t>
            </w:r>
          </w:p>
        </w:tc>
        <w:tc>
          <w:tcPr>
            <w:tcW w:w="992" w:type="dxa"/>
            <w:tcBorders>
              <w:top w:val="nil"/>
              <w:left w:val="nil"/>
              <w:bottom w:val="nil"/>
              <w:right w:val="nil"/>
            </w:tcBorders>
            <w:shd w:val="clear" w:color="auto" w:fill="auto"/>
            <w:noWrap/>
            <w:vAlign w:val="bottom"/>
            <w:hideMark/>
          </w:tcPr>
          <w:p w14:paraId="63D38334"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0.00</w:t>
            </w:r>
          </w:p>
        </w:tc>
        <w:tc>
          <w:tcPr>
            <w:tcW w:w="992" w:type="dxa"/>
            <w:tcBorders>
              <w:top w:val="nil"/>
              <w:left w:val="nil"/>
              <w:bottom w:val="nil"/>
              <w:right w:val="nil"/>
            </w:tcBorders>
            <w:shd w:val="clear" w:color="auto" w:fill="auto"/>
            <w:noWrap/>
            <w:vAlign w:val="bottom"/>
            <w:hideMark/>
          </w:tcPr>
          <w:p w14:paraId="445D52F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0.20</w:t>
            </w:r>
          </w:p>
        </w:tc>
        <w:tc>
          <w:tcPr>
            <w:tcW w:w="851" w:type="dxa"/>
            <w:tcBorders>
              <w:top w:val="nil"/>
              <w:left w:val="nil"/>
              <w:bottom w:val="nil"/>
              <w:right w:val="nil"/>
            </w:tcBorders>
            <w:shd w:val="clear" w:color="auto" w:fill="auto"/>
            <w:noWrap/>
            <w:vAlign w:val="bottom"/>
            <w:hideMark/>
          </w:tcPr>
          <w:p w14:paraId="4B445E84"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0.20</w:t>
            </w:r>
          </w:p>
        </w:tc>
      </w:tr>
      <w:tr w:rsidR="00F76AD0" w:rsidRPr="00F76AD0" w14:paraId="7B6D7A27"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00339D1D"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France</w:t>
            </w:r>
          </w:p>
        </w:tc>
        <w:tc>
          <w:tcPr>
            <w:tcW w:w="1095" w:type="dxa"/>
            <w:tcBorders>
              <w:top w:val="nil"/>
              <w:left w:val="single" w:sz="4" w:space="0" w:color="auto"/>
              <w:bottom w:val="nil"/>
              <w:right w:val="nil"/>
            </w:tcBorders>
            <w:shd w:val="clear" w:color="auto" w:fill="auto"/>
            <w:noWrap/>
            <w:vAlign w:val="bottom"/>
            <w:hideMark/>
          </w:tcPr>
          <w:p w14:paraId="571F1BC1"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5F789A1F"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30BD8BC7"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72A81613"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3563CD5D"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000000" w:fill="FFE699"/>
            <w:noWrap/>
            <w:vAlign w:val="bottom"/>
            <w:hideMark/>
          </w:tcPr>
          <w:p w14:paraId="50CA495E"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0.79</w:t>
            </w:r>
          </w:p>
        </w:tc>
      </w:tr>
      <w:tr w:rsidR="00F76AD0" w:rsidRPr="00F76AD0" w14:paraId="31257910"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31F436A9"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Germany</w:t>
            </w:r>
          </w:p>
        </w:tc>
        <w:tc>
          <w:tcPr>
            <w:tcW w:w="1095" w:type="dxa"/>
            <w:tcBorders>
              <w:top w:val="nil"/>
              <w:left w:val="single" w:sz="4" w:space="0" w:color="auto"/>
              <w:bottom w:val="nil"/>
              <w:right w:val="nil"/>
            </w:tcBorders>
            <w:shd w:val="clear" w:color="auto" w:fill="auto"/>
            <w:noWrap/>
            <w:vAlign w:val="bottom"/>
            <w:hideMark/>
          </w:tcPr>
          <w:p w14:paraId="00E1BB0E"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6ED1AA67"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7C831299"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4B6D7397"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40F83302"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0CC9B4B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0.40</w:t>
            </w:r>
          </w:p>
        </w:tc>
      </w:tr>
      <w:tr w:rsidR="00F76AD0" w:rsidRPr="00F76AD0" w14:paraId="65320DCA"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05A22C57"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India</w:t>
            </w:r>
          </w:p>
        </w:tc>
        <w:tc>
          <w:tcPr>
            <w:tcW w:w="1095" w:type="dxa"/>
            <w:tcBorders>
              <w:top w:val="nil"/>
              <w:left w:val="single" w:sz="4" w:space="0" w:color="auto"/>
              <w:bottom w:val="nil"/>
              <w:right w:val="nil"/>
            </w:tcBorders>
            <w:shd w:val="clear" w:color="000000" w:fill="FFE699"/>
            <w:noWrap/>
            <w:vAlign w:val="bottom"/>
            <w:hideMark/>
          </w:tcPr>
          <w:p w14:paraId="398BAAB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0.77</w:t>
            </w:r>
          </w:p>
        </w:tc>
        <w:tc>
          <w:tcPr>
            <w:tcW w:w="992" w:type="dxa"/>
            <w:tcBorders>
              <w:top w:val="nil"/>
              <w:left w:val="nil"/>
              <w:bottom w:val="nil"/>
              <w:right w:val="nil"/>
            </w:tcBorders>
            <w:shd w:val="clear" w:color="000000" w:fill="FFE699"/>
            <w:noWrap/>
            <w:vAlign w:val="bottom"/>
            <w:hideMark/>
          </w:tcPr>
          <w:p w14:paraId="3E20452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0.61</w:t>
            </w:r>
          </w:p>
        </w:tc>
        <w:tc>
          <w:tcPr>
            <w:tcW w:w="851" w:type="dxa"/>
            <w:tcBorders>
              <w:top w:val="nil"/>
              <w:left w:val="nil"/>
              <w:bottom w:val="nil"/>
              <w:right w:val="nil"/>
            </w:tcBorders>
            <w:shd w:val="clear" w:color="000000" w:fill="FFE699"/>
            <w:noWrap/>
            <w:vAlign w:val="bottom"/>
            <w:hideMark/>
          </w:tcPr>
          <w:p w14:paraId="7708F45A"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0.77</w:t>
            </w:r>
          </w:p>
        </w:tc>
        <w:tc>
          <w:tcPr>
            <w:tcW w:w="992" w:type="dxa"/>
            <w:tcBorders>
              <w:top w:val="nil"/>
              <w:left w:val="nil"/>
              <w:bottom w:val="nil"/>
              <w:right w:val="nil"/>
            </w:tcBorders>
            <w:shd w:val="clear" w:color="000000" w:fill="FFE699"/>
            <w:noWrap/>
            <w:vAlign w:val="bottom"/>
            <w:hideMark/>
          </w:tcPr>
          <w:p w14:paraId="2D931A1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0.92</w:t>
            </w:r>
          </w:p>
        </w:tc>
        <w:tc>
          <w:tcPr>
            <w:tcW w:w="992" w:type="dxa"/>
            <w:tcBorders>
              <w:top w:val="nil"/>
              <w:left w:val="nil"/>
              <w:bottom w:val="nil"/>
              <w:right w:val="nil"/>
            </w:tcBorders>
            <w:shd w:val="clear" w:color="auto" w:fill="auto"/>
            <w:noWrap/>
            <w:vAlign w:val="bottom"/>
            <w:hideMark/>
          </w:tcPr>
          <w:p w14:paraId="7F5C54FE"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14358B6A"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r w:rsidR="00F76AD0" w:rsidRPr="00F76AD0" w14:paraId="01074A31"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4C47E5A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Italy</w:t>
            </w:r>
          </w:p>
        </w:tc>
        <w:tc>
          <w:tcPr>
            <w:tcW w:w="1095" w:type="dxa"/>
            <w:tcBorders>
              <w:top w:val="nil"/>
              <w:left w:val="single" w:sz="4" w:space="0" w:color="auto"/>
              <w:bottom w:val="nil"/>
              <w:right w:val="nil"/>
            </w:tcBorders>
            <w:shd w:val="clear" w:color="000000" w:fill="FFE699"/>
            <w:noWrap/>
            <w:vAlign w:val="bottom"/>
            <w:hideMark/>
          </w:tcPr>
          <w:p w14:paraId="7D415D3A"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0.88</w:t>
            </w:r>
          </w:p>
        </w:tc>
        <w:tc>
          <w:tcPr>
            <w:tcW w:w="992" w:type="dxa"/>
            <w:tcBorders>
              <w:top w:val="nil"/>
              <w:left w:val="nil"/>
              <w:bottom w:val="nil"/>
              <w:right w:val="nil"/>
            </w:tcBorders>
            <w:shd w:val="clear" w:color="000000" w:fill="FFE699"/>
            <w:noWrap/>
            <w:vAlign w:val="bottom"/>
            <w:hideMark/>
          </w:tcPr>
          <w:p w14:paraId="4FA2710E"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0.69</w:t>
            </w:r>
          </w:p>
        </w:tc>
        <w:tc>
          <w:tcPr>
            <w:tcW w:w="851" w:type="dxa"/>
            <w:tcBorders>
              <w:top w:val="nil"/>
              <w:left w:val="nil"/>
              <w:bottom w:val="nil"/>
              <w:right w:val="nil"/>
            </w:tcBorders>
            <w:shd w:val="clear" w:color="000000" w:fill="FFE699"/>
            <w:noWrap/>
            <w:vAlign w:val="bottom"/>
            <w:hideMark/>
          </w:tcPr>
          <w:p w14:paraId="25D8110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0.75</w:t>
            </w:r>
          </w:p>
        </w:tc>
        <w:tc>
          <w:tcPr>
            <w:tcW w:w="992" w:type="dxa"/>
            <w:tcBorders>
              <w:top w:val="nil"/>
              <w:left w:val="nil"/>
              <w:bottom w:val="nil"/>
              <w:right w:val="nil"/>
            </w:tcBorders>
            <w:shd w:val="clear" w:color="000000" w:fill="FFE699"/>
            <w:noWrap/>
            <w:vAlign w:val="bottom"/>
            <w:hideMark/>
          </w:tcPr>
          <w:p w14:paraId="6D115B4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0.87</w:t>
            </w:r>
          </w:p>
        </w:tc>
        <w:tc>
          <w:tcPr>
            <w:tcW w:w="992" w:type="dxa"/>
            <w:tcBorders>
              <w:top w:val="nil"/>
              <w:left w:val="nil"/>
              <w:bottom w:val="nil"/>
              <w:right w:val="nil"/>
            </w:tcBorders>
            <w:shd w:val="clear" w:color="000000" w:fill="FFE699"/>
            <w:noWrap/>
            <w:vAlign w:val="bottom"/>
            <w:hideMark/>
          </w:tcPr>
          <w:p w14:paraId="4DE7C607"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1.04</w:t>
            </w:r>
          </w:p>
        </w:tc>
        <w:tc>
          <w:tcPr>
            <w:tcW w:w="851" w:type="dxa"/>
            <w:tcBorders>
              <w:top w:val="nil"/>
              <w:left w:val="nil"/>
              <w:bottom w:val="nil"/>
              <w:right w:val="nil"/>
            </w:tcBorders>
            <w:shd w:val="clear" w:color="000000" w:fill="FFE699"/>
            <w:noWrap/>
            <w:vAlign w:val="bottom"/>
            <w:hideMark/>
          </w:tcPr>
          <w:p w14:paraId="4FA4D189"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1.04</w:t>
            </w:r>
          </w:p>
        </w:tc>
      </w:tr>
      <w:tr w:rsidR="00F76AD0" w:rsidRPr="00F76AD0" w14:paraId="456B685C"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0FB5EFFA"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Japan</w:t>
            </w:r>
          </w:p>
        </w:tc>
        <w:tc>
          <w:tcPr>
            <w:tcW w:w="1095" w:type="dxa"/>
            <w:tcBorders>
              <w:top w:val="nil"/>
              <w:left w:val="single" w:sz="4" w:space="0" w:color="auto"/>
              <w:bottom w:val="nil"/>
              <w:right w:val="nil"/>
            </w:tcBorders>
            <w:shd w:val="clear" w:color="auto" w:fill="auto"/>
            <w:noWrap/>
            <w:vAlign w:val="bottom"/>
            <w:hideMark/>
          </w:tcPr>
          <w:p w14:paraId="51C409C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0.09</w:t>
            </w:r>
          </w:p>
        </w:tc>
        <w:tc>
          <w:tcPr>
            <w:tcW w:w="992" w:type="dxa"/>
            <w:tcBorders>
              <w:top w:val="nil"/>
              <w:left w:val="nil"/>
              <w:bottom w:val="nil"/>
              <w:right w:val="nil"/>
            </w:tcBorders>
            <w:shd w:val="clear" w:color="auto" w:fill="auto"/>
            <w:noWrap/>
            <w:vAlign w:val="bottom"/>
            <w:hideMark/>
          </w:tcPr>
          <w:p w14:paraId="68B9342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0.11</w:t>
            </w:r>
          </w:p>
        </w:tc>
        <w:tc>
          <w:tcPr>
            <w:tcW w:w="851" w:type="dxa"/>
            <w:tcBorders>
              <w:top w:val="nil"/>
              <w:left w:val="nil"/>
              <w:bottom w:val="nil"/>
              <w:right w:val="nil"/>
            </w:tcBorders>
            <w:shd w:val="clear" w:color="auto" w:fill="auto"/>
            <w:noWrap/>
            <w:vAlign w:val="bottom"/>
            <w:hideMark/>
          </w:tcPr>
          <w:p w14:paraId="2413D979"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0.07</w:t>
            </w:r>
          </w:p>
        </w:tc>
        <w:tc>
          <w:tcPr>
            <w:tcW w:w="992" w:type="dxa"/>
            <w:tcBorders>
              <w:top w:val="nil"/>
              <w:left w:val="nil"/>
              <w:bottom w:val="nil"/>
              <w:right w:val="nil"/>
            </w:tcBorders>
            <w:shd w:val="clear" w:color="auto" w:fill="auto"/>
            <w:noWrap/>
            <w:vAlign w:val="bottom"/>
            <w:hideMark/>
          </w:tcPr>
          <w:p w14:paraId="288ACE1A"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0.08</w:t>
            </w:r>
          </w:p>
        </w:tc>
        <w:tc>
          <w:tcPr>
            <w:tcW w:w="992" w:type="dxa"/>
            <w:tcBorders>
              <w:top w:val="nil"/>
              <w:left w:val="nil"/>
              <w:bottom w:val="nil"/>
              <w:right w:val="nil"/>
            </w:tcBorders>
            <w:shd w:val="clear" w:color="auto" w:fill="auto"/>
            <w:noWrap/>
            <w:vAlign w:val="bottom"/>
            <w:hideMark/>
          </w:tcPr>
          <w:p w14:paraId="7011786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0.08</w:t>
            </w:r>
          </w:p>
        </w:tc>
        <w:tc>
          <w:tcPr>
            <w:tcW w:w="851" w:type="dxa"/>
            <w:tcBorders>
              <w:top w:val="nil"/>
              <w:left w:val="nil"/>
              <w:bottom w:val="nil"/>
              <w:right w:val="nil"/>
            </w:tcBorders>
            <w:shd w:val="clear" w:color="auto" w:fill="auto"/>
            <w:noWrap/>
            <w:vAlign w:val="bottom"/>
            <w:hideMark/>
          </w:tcPr>
          <w:p w14:paraId="694634FB"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0.11</w:t>
            </w:r>
          </w:p>
        </w:tc>
      </w:tr>
      <w:tr w:rsidR="00F76AD0" w:rsidRPr="00F76AD0" w14:paraId="7B09DB35"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448F6FD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Kuwait</w:t>
            </w:r>
          </w:p>
        </w:tc>
        <w:tc>
          <w:tcPr>
            <w:tcW w:w="1095" w:type="dxa"/>
            <w:tcBorders>
              <w:top w:val="nil"/>
              <w:left w:val="single" w:sz="4" w:space="0" w:color="auto"/>
              <w:bottom w:val="nil"/>
              <w:right w:val="nil"/>
            </w:tcBorders>
            <w:shd w:val="clear" w:color="auto" w:fill="auto"/>
            <w:noWrap/>
            <w:vAlign w:val="bottom"/>
            <w:hideMark/>
          </w:tcPr>
          <w:p w14:paraId="4DC2131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0.16</w:t>
            </w:r>
          </w:p>
        </w:tc>
        <w:tc>
          <w:tcPr>
            <w:tcW w:w="992" w:type="dxa"/>
            <w:tcBorders>
              <w:top w:val="nil"/>
              <w:left w:val="nil"/>
              <w:bottom w:val="nil"/>
              <w:right w:val="nil"/>
            </w:tcBorders>
            <w:shd w:val="clear" w:color="auto" w:fill="auto"/>
            <w:noWrap/>
            <w:vAlign w:val="bottom"/>
            <w:hideMark/>
          </w:tcPr>
          <w:p w14:paraId="296476D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0.16</w:t>
            </w:r>
          </w:p>
        </w:tc>
        <w:tc>
          <w:tcPr>
            <w:tcW w:w="851" w:type="dxa"/>
            <w:tcBorders>
              <w:top w:val="nil"/>
              <w:left w:val="nil"/>
              <w:bottom w:val="nil"/>
              <w:right w:val="nil"/>
            </w:tcBorders>
            <w:shd w:val="clear" w:color="auto" w:fill="auto"/>
            <w:noWrap/>
            <w:vAlign w:val="bottom"/>
            <w:hideMark/>
          </w:tcPr>
          <w:p w14:paraId="0E2EC84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0.18</w:t>
            </w:r>
          </w:p>
        </w:tc>
        <w:tc>
          <w:tcPr>
            <w:tcW w:w="992" w:type="dxa"/>
            <w:tcBorders>
              <w:top w:val="nil"/>
              <w:left w:val="nil"/>
              <w:bottom w:val="nil"/>
              <w:right w:val="nil"/>
            </w:tcBorders>
            <w:shd w:val="clear" w:color="auto" w:fill="auto"/>
            <w:noWrap/>
            <w:vAlign w:val="bottom"/>
            <w:hideMark/>
          </w:tcPr>
          <w:p w14:paraId="33C626E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0.19</w:t>
            </w:r>
          </w:p>
        </w:tc>
        <w:tc>
          <w:tcPr>
            <w:tcW w:w="992" w:type="dxa"/>
            <w:tcBorders>
              <w:top w:val="nil"/>
              <w:left w:val="nil"/>
              <w:bottom w:val="nil"/>
              <w:right w:val="nil"/>
            </w:tcBorders>
            <w:shd w:val="clear" w:color="auto" w:fill="auto"/>
            <w:noWrap/>
            <w:vAlign w:val="bottom"/>
            <w:hideMark/>
          </w:tcPr>
          <w:p w14:paraId="53CF675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0.19</w:t>
            </w:r>
          </w:p>
        </w:tc>
        <w:tc>
          <w:tcPr>
            <w:tcW w:w="851" w:type="dxa"/>
            <w:tcBorders>
              <w:top w:val="nil"/>
              <w:left w:val="nil"/>
              <w:bottom w:val="nil"/>
              <w:right w:val="nil"/>
            </w:tcBorders>
            <w:shd w:val="clear" w:color="auto" w:fill="auto"/>
            <w:noWrap/>
            <w:vAlign w:val="bottom"/>
            <w:hideMark/>
          </w:tcPr>
          <w:p w14:paraId="56BBBB36"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0.06</w:t>
            </w:r>
          </w:p>
        </w:tc>
      </w:tr>
      <w:tr w:rsidR="00F76AD0" w:rsidRPr="00F76AD0" w14:paraId="2EECB008"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442B833B"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Morocco</w:t>
            </w:r>
          </w:p>
        </w:tc>
        <w:tc>
          <w:tcPr>
            <w:tcW w:w="1095" w:type="dxa"/>
            <w:tcBorders>
              <w:top w:val="nil"/>
              <w:left w:val="single" w:sz="4" w:space="0" w:color="auto"/>
              <w:bottom w:val="nil"/>
              <w:right w:val="nil"/>
            </w:tcBorders>
            <w:shd w:val="clear" w:color="auto" w:fill="auto"/>
            <w:noWrap/>
            <w:vAlign w:val="bottom"/>
            <w:hideMark/>
          </w:tcPr>
          <w:p w14:paraId="54563564"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0A4B17B2"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7DD8BD6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0.37</w:t>
            </w:r>
          </w:p>
        </w:tc>
        <w:tc>
          <w:tcPr>
            <w:tcW w:w="992" w:type="dxa"/>
            <w:tcBorders>
              <w:top w:val="nil"/>
              <w:left w:val="nil"/>
              <w:bottom w:val="nil"/>
              <w:right w:val="nil"/>
            </w:tcBorders>
            <w:shd w:val="clear" w:color="auto" w:fill="auto"/>
            <w:noWrap/>
            <w:vAlign w:val="bottom"/>
            <w:hideMark/>
          </w:tcPr>
          <w:p w14:paraId="7EE661DE"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674578DB"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6F3A6975"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r w:rsidR="00F76AD0" w:rsidRPr="00F76AD0" w14:paraId="7BC6A893"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4929E691"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Norway</w:t>
            </w:r>
          </w:p>
        </w:tc>
        <w:tc>
          <w:tcPr>
            <w:tcW w:w="1095" w:type="dxa"/>
            <w:tcBorders>
              <w:top w:val="nil"/>
              <w:left w:val="single" w:sz="4" w:space="0" w:color="auto"/>
              <w:bottom w:val="nil"/>
              <w:right w:val="nil"/>
            </w:tcBorders>
            <w:shd w:val="clear" w:color="000000" w:fill="A9D08E"/>
            <w:noWrap/>
            <w:vAlign w:val="bottom"/>
            <w:hideMark/>
          </w:tcPr>
          <w:p w14:paraId="677F2356"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3.18</w:t>
            </w:r>
          </w:p>
        </w:tc>
        <w:tc>
          <w:tcPr>
            <w:tcW w:w="992" w:type="dxa"/>
            <w:tcBorders>
              <w:top w:val="nil"/>
              <w:left w:val="nil"/>
              <w:bottom w:val="nil"/>
              <w:right w:val="nil"/>
            </w:tcBorders>
            <w:shd w:val="clear" w:color="000000" w:fill="A9D08E"/>
            <w:noWrap/>
            <w:vAlign w:val="bottom"/>
            <w:hideMark/>
          </w:tcPr>
          <w:p w14:paraId="137B923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2.69</w:t>
            </w:r>
          </w:p>
        </w:tc>
        <w:tc>
          <w:tcPr>
            <w:tcW w:w="851" w:type="dxa"/>
            <w:tcBorders>
              <w:top w:val="nil"/>
              <w:left w:val="nil"/>
              <w:bottom w:val="nil"/>
              <w:right w:val="nil"/>
            </w:tcBorders>
            <w:shd w:val="clear" w:color="auto" w:fill="auto"/>
            <w:noWrap/>
            <w:vAlign w:val="bottom"/>
            <w:hideMark/>
          </w:tcPr>
          <w:p w14:paraId="06A4A751"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000000" w:fill="A9D08E"/>
            <w:noWrap/>
            <w:vAlign w:val="bottom"/>
            <w:hideMark/>
          </w:tcPr>
          <w:p w14:paraId="75B37A6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3.28</w:t>
            </w:r>
          </w:p>
        </w:tc>
        <w:tc>
          <w:tcPr>
            <w:tcW w:w="992" w:type="dxa"/>
            <w:tcBorders>
              <w:top w:val="nil"/>
              <w:left w:val="nil"/>
              <w:bottom w:val="nil"/>
              <w:right w:val="nil"/>
            </w:tcBorders>
            <w:shd w:val="clear" w:color="auto" w:fill="auto"/>
            <w:noWrap/>
            <w:vAlign w:val="bottom"/>
            <w:hideMark/>
          </w:tcPr>
          <w:p w14:paraId="016BD987"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000000" w:fill="A9D08E"/>
            <w:noWrap/>
            <w:vAlign w:val="bottom"/>
            <w:hideMark/>
          </w:tcPr>
          <w:p w14:paraId="2184B95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3.58</w:t>
            </w:r>
          </w:p>
        </w:tc>
      </w:tr>
      <w:tr w:rsidR="00F76AD0" w:rsidRPr="00F76AD0" w14:paraId="51CD47AC"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0F3E0BAD"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Republic of Korea</w:t>
            </w:r>
          </w:p>
        </w:tc>
        <w:tc>
          <w:tcPr>
            <w:tcW w:w="1095" w:type="dxa"/>
            <w:tcBorders>
              <w:top w:val="nil"/>
              <w:left w:val="single" w:sz="4" w:space="0" w:color="auto"/>
              <w:bottom w:val="nil"/>
              <w:right w:val="nil"/>
            </w:tcBorders>
            <w:shd w:val="clear" w:color="auto" w:fill="auto"/>
            <w:noWrap/>
            <w:vAlign w:val="bottom"/>
            <w:hideMark/>
          </w:tcPr>
          <w:p w14:paraId="5A5295E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0.44</w:t>
            </w:r>
          </w:p>
        </w:tc>
        <w:tc>
          <w:tcPr>
            <w:tcW w:w="992" w:type="dxa"/>
            <w:tcBorders>
              <w:top w:val="nil"/>
              <w:left w:val="nil"/>
              <w:bottom w:val="nil"/>
              <w:right w:val="nil"/>
            </w:tcBorders>
            <w:shd w:val="clear" w:color="auto" w:fill="FFE599"/>
            <w:noWrap/>
            <w:vAlign w:val="bottom"/>
            <w:hideMark/>
          </w:tcPr>
          <w:p w14:paraId="2D4CD51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0.62</w:t>
            </w:r>
          </w:p>
        </w:tc>
        <w:tc>
          <w:tcPr>
            <w:tcW w:w="851" w:type="dxa"/>
            <w:tcBorders>
              <w:top w:val="nil"/>
              <w:left w:val="nil"/>
              <w:bottom w:val="nil"/>
              <w:right w:val="nil"/>
            </w:tcBorders>
            <w:shd w:val="clear" w:color="auto" w:fill="auto"/>
            <w:noWrap/>
            <w:vAlign w:val="bottom"/>
            <w:hideMark/>
          </w:tcPr>
          <w:p w14:paraId="7798CDD1"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0.40</w:t>
            </w:r>
          </w:p>
        </w:tc>
        <w:tc>
          <w:tcPr>
            <w:tcW w:w="992" w:type="dxa"/>
            <w:tcBorders>
              <w:top w:val="nil"/>
              <w:left w:val="nil"/>
              <w:bottom w:val="nil"/>
              <w:right w:val="nil"/>
            </w:tcBorders>
            <w:shd w:val="clear" w:color="auto" w:fill="auto"/>
            <w:noWrap/>
            <w:vAlign w:val="bottom"/>
            <w:hideMark/>
          </w:tcPr>
          <w:p w14:paraId="3C1CB6AC"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0.41</w:t>
            </w:r>
          </w:p>
        </w:tc>
        <w:tc>
          <w:tcPr>
            <w:tcW w:w="992" w:type="dxa"/>
            <w:tcBorders>
              <w:top w:val="nil"/>
              <w:left w:val="nil"/>
              <w:bottom w:val="nil"/>
              <w:right w:val="nil"/>
            </w:tcBorders>
            <w:shd w:val="clear" w:color="auto" w:fill="auto"/>
            <w:noWrap/>
            <w:vAlign w:val="bottom"/>
            <w:hideMark/>
          </w:tcPr>
          <w:p w14:paraId="3498C61E"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0.44</w:t>
            </w:r>
          </w:p>
        </w:tc>
        <w:tc>
          <w:tcPr>
            <w:tcW w:w="851" w:type="dxa"/>
            <w:tcBorders>
              <w:top w:val="nil"/>
              <w:left w:val="nil"/>
              <w:bottom w:val="nil"/>
              <w:right w:val="nil"/>
            </w:tcBorders>
            <w:shd w:val="clear" w:color="auto" w:fill="auto"/>
            <w:noWrap/>
            <w:vAlign w:val="bottom"/>
            <w:hideMark/>
          </w:tcPr>
          <w:p w14:paraId="63F53A5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0.32</w:t>
            </w:r>
          </w:p>
        </w:tc>
      </w:tr>
      <w:tr w:rsidR="00F76AD0" w:rsidRPr="00F76AD0" w14:paraId="18E4CF0A"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4B43604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Romania</w:t>
            </w:r>
          </w:p>
        </w:tc>
        <w:tc>
          <w:tcPr>
            <w:tcW w:w="1095" w:type="dxa"/>
            <w:tcBorders>
              <w:top w:val="nil"/>
              <w:left w:val="single" w:sz="4" w:space="0" w:color="auto"/>
              <w:bottom w:val="nil"/>
              <w:right w:val="nil"/>
            </w:tcBorders>
            <w:shd w:val="clear" w:color="auto" w:fill="auto"/>
            <w:noWrap/>
            <w:vAlign w:val="bottom"/>
            <w:hideMark/>
          </w:tcPr>
          <w:p w14:paraId="72D293D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0.50</w:t>
            </w:r>
          </w:p>
        </w:tc>
        <w:tc>
          <w:tcPr>
            <w:tcW w:w="992" w:type="dxa"/>
            <w:tcBorders>
              <w:top w:val="nil"/>
              <w:left w:val="nil"/>
              <w:bottom w:val="nil"/>
              <w:right w:val="nil"/>
            </w:tcBorders>
            <w:shd w:val="clear" w:color="auto" w:fill="auto"/>
            <w:noWrap/>
            <w:vAlign w:val="bottom"/>
            <w:hideMark/>
          </w:tcPr>
          <w:p w14:paraId="137E4A1E"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0.47</w:t>
            </w:r>
          </w:p>
        </w:tc>
        <w:tc>
          <w:tcPr>
            <w:tcW w:w="851" w:type="dxa"/>
            <w:tcBorders>
              <w:top w:val="nil"/>
              <w:left w:val="nil"/>
              <w:bottom w:val="nil"/>
              <w:right w:val="nil"/>
            </w:tcBorders>
            <w:shd w:val="clear" w:color="auto" w:fill="auto"/>
            <w:noWrap/>
            <w:vAlign w:val="bottom"/>
            <w:hideMark/>
          </w:tcPr>
          <w:p w14:paraId="6EEE1E9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0.35</w:t>
            </w:r>
          </w:p>
        </w:tc>
        <w:tc>
          <w:tcPr>
            <w:tcW w:w="992" w:type="dxa"/>
            <w:tcBorders>
              <w:top w:val="nil"/>
              <w:left w:val="nil"/>
              <w:bottom w:val="nil"/>
              <w:right w:val="nil"/>
            </w:tcBorders>
            <w:shd w:val="clear" w:color="000000" w:fill="FFE699"/>
            <w:noWrap/>
            <w:vAlign w:val="bottom"/>
            <w:hideMark/>
          </w:tcPr>
          <w:p w14:paraId="401766F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0.51</w:t>
            </w:r>
          </w:p>
        </w:tc>
        <w:tc>
          <w:tcPr>
            <w:tcW w:w="992" w:type="dxa"/>
            <w:tcBorders>
              <w:top w:val="nil"/>
              <w:left w:val="nil"/>
              <w:bottom w:val="nil"/>
              <w:right w:val="nil"/>
            </w:tcBorders>
            <w:shd w:val="clear" w:color="000000" w:fill="FFE699"/>
            <w:noWrap/>
            <w:vAlign w:val="bottom"/>
            <w:hideMark/>
          </w:tcPr>
          <w:p w14:paraId="5CD5AD87"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0.54</w:t>
            </w:r>
          </w:p>
        </w:tc>
        <w:tc>
          <w:tcPr>
            <w:tcW w:w="851" w:type="dxa"/>
            <w:tcBorders>
              <w:top w:val="nil"/>
              <w:left w:val="nil"/>
              <w:bottom w:val="nil"/>
              <w:right w:val="nil"/>
            </w:tcBorders>
            <w:shd w:val="clear" w:color="000000" w:fill="FFE699"/>
            <w:noWrap/>
            <w:vAlign w:val="bottom"/>
            <w:hideMark/>
          </w:tcPr>
          <w:p w14:paraId="0C6EFCCC"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0.65</w:t>
            </w:r>
          </w:p>
        </w:tc>
      </w:tr>
      <w:tr w:rsidR="00F76AD0" w:rsidRPr="00F76AD0" w14:paraId="02269DA7"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1CE77D9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Russian Federation</w:t>
            </w:r>
          </w:p>
        </w:tc>
        <w:tc>
          <w:tcPr>
            <w:tcW w:w="1095" w:type="dxa"/>
            <w:tcBorders>
              <w:top w:val="nil"/>
              <w:left w:val="single" w:sz="4" w:space="0" w:color="auto"/>
              <w:bottom w:val="nil"/>
              <w:right w:val="nil"/>
            </w:tcBorders>
            <w:shd w:val="clear" w:color="auto" w:fill="auto"/>
            <w:noWrap/>
            <w:vAlign w:val="bottom"/>
            <w:hideMark/>
          </w:tcPr>
          <w:p w14:paraId="77C8C95D"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0.04</w:t>
            </w:r>
          </w:p>
        </w:tc>
        <w:tc>
          <w:tcPr>
            <w:tcW w:w="992" w:type="dxa"/>
            <w:tcBorders>
              <w:top w:val="nil"/>
              <w:left w:val="nil"/>
              <w:bottom w:val="nil"/>
              <w:right w:val="nil"/>
            </w:tcBorders>
            <w:shd w:val="clear" w:color="auto" w:fill="auto"/>
            <w:noWrap/>
            <w:vAlign w:val="bottom"/>
            <w:hideMark/>
          </w:tcPr>
          <w:p w14:paraId="6CE1DCA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0.03</w:t>
            </w:r>
          </w:p>
        </w:tc>
        <w:tc>
          <w:tcPr>
            <w:tcW w:w="851" w:type="dxa"/>
            <w:tcBorders>
              <w:top w:val="nil"/>
              <w:left w:val="nil"/>
              <w:bottom w:val="nil"/>
              <w:right w:val="nil"/>
            </w:tcBorders>
            <w:shd w:val="clear" w:color="auto" w:fill="auto"/>
            <w:noWrap/>
            <w:vAlign w:val="bottom"/>
            <w:hideMark/>
          </w:tcPr>
          <w:p w14:paraId="2FDA29C4"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0.04</w:t>
            </w:r>
          </w:p>
        </w:tc>
        <w:tc>
          <w:tcPr>
            <w:tcW w:w="992" w:type="dxa"/>
            <w:tcBorders>
              <w:top w:val="nil"/>
              <w:left w:val="nil"/>
              <w:bottom w:val="nil"/>
              <w:right w:val="nil"/>
            </w:tcBorders>
            <w:shd w:val="clear" w:color="auto" w:fill="auto"/>
            <w:noWrap/>
            <w:vAlign w:val="bottom"/>
            <w:hideMark/>
          </w:tcPr>
          <w:p w14:paraId="5F8101DE"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0.04</w:t>
            </w:r>
          </w:p>
        </w:tc>
        <w:tc>
          <w:tcPr>
            <w:tcW w:w="992" w:type="dxa"/>
            <w:tcBorders>
              <w:top w:val="nil"/>
              <w:left w:val="nil"/>
              <w:bottom w:val="nil"/>
              <w:right w:val="nil"/>
            </w:tcBorders>
            <w:shd w:val="clear" w:color="auto" w:fill="auto"/>
            <w:noWrap/>
            <w:vAlign w:val="bottom"/>
            <w:hideMark/>
          </w:tcPr>
          <w:p w14:paraId="73318E4B"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0.03</w:t>
            </w:r>
          </w:p>
        </w:tc>
        <w:tc>
          <w:tcPr>
            <w:tcW w:w="851" w:type="dxa"/>
            <w:tcBorders>
              <w:top w:val="nil"/>
              <w:left w:val="nil"/>
              <w:bottom w:val="nil"/>
              <w:right w:val="nil"/>
            </w:tcBorders>
            <w:shd w:val="clear" w:color="auto" w:fill="auto"/>
            <w:noWrap/>
            <w:vAlign w:val="bottom"/>
            <w:hideMark/>
          </w:tcPr>
          <w:p w14:paraId="4F2CBB9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0.04</w:t>
            </w:r>
          </w:p>
        </w:tc>
      </w:tr>
      <w:tr w:rsidR="00F76AD0" w:rsidRPr="00F76AD0" w14:paraId="1BBBBE77"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1E7ACFC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Spain (IEO)</w:t>
            </w:r>
          </w:p>
        </w:tc>
        <w:tc>
          <w:tcPr>
            <w:tcW w:w="1095" w:type="dxa"/>
            <w:tcBorders>
              <w:top w:val="nil"/>
              <w:left w:val="single" w:sz="4" w:space="0" w:color="auto"/>
              <w:bottom w:val="nil"/>
              <w:right w:val="nil"/>
            </w:tcBorders>
            <w:shd w:val="clear" w:color="auto" w:fill="auto"/>
            <w:noWrap/>
            <w:vAlign w:val="bottom"/>
            <w:hideMark/>
          </w:tcPr>
          <w:p w14:paraId="6882FE4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0.28</w:t>
            </w:r>
          </w:p>
        </w:tc>
        <w:tc>
          <w:tcPr>
            <w:tcW w:w="992" w:type="dxa"/>
            <w:tcBorders>
              <w:top w:val="nil"/>
              <w:left w:val="nil"/>
              <w:bottom w:val="nil"/>
              <w:right w:val="nil"/>
            </w:tcBorders>
            <w:shd w:val="clear" w:color="auto" w:fill="auto"/>
            <w:noWrap/>
            <w:vAlign w:val="bottom"/>
            <w:hideMark/>
          </w:tcPr>
          <w:p w14:paraId="04611474"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1B5A5DE4"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0.37</w:t>
            </w:r>
          </w:p>
        </w:tc>
        <w:tc>
          <w:tcPr>
            <w:tcW w:w="992" w:type="dxa"/>
            <w:tcBorders>
              <w:top w:val="nil"/>
              <w:left w:val="nil"/>
              <w:bottom w:val="nil"/>
              <w:right w:val="nil"/>
            </w:tcBorders>
            <w:shd w:val="clear" w:color="auto" w:fill="auto"/>
            <w:noWrap/>
            <w:vAlign w:val="bottom"/>
            <w:hideMark/>
          </w:tcPr>
          <w:p w14:paraId="74D0ACB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0.37</w:t>
            </w:r>
          </w:p>
        </w:tc>
        <w:tc>
          <w:tcPr>
            <w:tcW w:w="992" w:type="dxa"/>
            <w:tcBorders>
              <w:top w:val="nil"/>
              <w:left w:val="nil"/>
              <w:bottom w:val="nil"/>
              <w:right w:val="nil"/>
            </w:tcBorders>
            <w:shd w:val="clear" w:color="auto" w:fill="auto"/>
            <w:noWrap/>
            <w:vAlign w:val="bottom"/>
            <w:hideMark/>
          </w:tcPr>
          <w:p w14:paraId="047E23B3"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0.36</w:t>
            </w:r>
          </w:p>
        </w:tc>
        <w:tc>
          <w:tcPr>
            <w:tcW w:w="851" w:type="dxa"/>
            <w:tcBorders>
              <w:top w:val="nil"/>
              <w:left w:val="nil"/>
              <w:bottom w:val="nil"/>
              <w:right w:val="nil"/>
            </w:tcBorders>
            <w:shd w:val="clear" w:color="auto" w:fill="auto"/>
            <w:noWrap/>
            <w:vAlign w:val="bottom"/>
            <w:hideMark/>
          </w:tcPr>
          <w:p w14:paraId="762C4764"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0.28</w:t>
            </w:r>
          </w:p>
        </w:tc>
      </w:tr>
      <w:tr w:rsidR="00F76AD0" w:rsidRPr="00F76AD0" w14:paraId="38027D02"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0C86ADE1"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Thailand</w:t>
            </w:r>
          </w:p>
        </w:tc>
        <w:tc>
          <w:tcPr>
            <w:tcW w:w="1095" w:type="dxa"/>
            <w:tcBorders>
              <w:top w:val="nil"/>
              <w:left w:val="single" w:sz="4" w:space="0" w:color="auto"/>
              <w:bottom w:val="nil"/>
              <w:right w:val="nil"/>
            </w:tcBorders>
            <w:shd w:val="clear" w:color="auto" w:fill="auto"/>
            <w:noWrap/>
            <w:vAlign w:val="bottom"/>
            <w:hideMark/>
          </w:tcPr>
          <w:p w14:paraId="25C951A1"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auto" w:fill="auto"/>
            <w:noWrap/>
            <w:vAlign w:val="bottom"/>
            <w:hideMark/>
          </w:tcPr>
          <w:p w14:paraId="374D4C81"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2B7CC17D"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nil"/>
              <w:right w:val="nil"/>
            </w:tcBorders>
            <w:shd w:val="clear" w:color="000000" w:fill="A9D08E"/>
            <w:noWrap/>
            <w:vAlign w:val="bottom"/>
            <w:hideMark/>
          </w:tcPr>
          <w:p w14:paraId="6C179CF8"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2.02</w:t>
            </w:r>
          </w:p>
        </w:tc>
        <w:tc>
          <w:tcPr>
            <w:tcW w:w="992" w:type="dxa"/>
            <w:tcBorders>
              <w:top w:val="nil"/>
              <w:left w:val="nil"/>
              <w:bottom w:val="nil"/>
              <w:right w:val="nil"/>
            </w:tcBorders>
            <w:shd w:val="clear" w:color="auto" w:fill="auto"/>
            <w:noWrap/>
            <w:vAlign w:val="bottom"/>
            <w:hideMark/>
          </w:tcPr>
          <w:p w14:paraId="60EDB7A6"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nil"/>
              <w:right w:val="nil"/>
            </w:tcBorders>
            <w:shd w:val="clear" w:color="auto" w:fill="auto"/>
            <w:noWrap/>
            <w:vAlign w:val="bottom"/>
            <w:hideMark/>
          </w:tcPr>
          <w:p w14:paraId="1AAB4854"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r w:rsidR="00F76AD0" w:rsidRPr="00F76AD0" w14:paraId="1F0990D2" w14:textId="77777777" w:rsidTr="00602FD0">
        <w:trPr>
          <w:trHeight w:val="255"/>
        </w:trPr>
        <w:tc>
          <w:tcPr>
            <w:tcW w:w="1457" w:type="dxa"/>
            <w:tcBorders>
              <w:top w:val="nil"/>
              <w:left w:val="nil"/>
              <w:bottom w:val="nil"/>
              <w:right w:val="single" w:sz="4" w:space="0" w:color="auto"/>
            </w:tcBorders>
            <w:shd w:val="clear" w:color="auto" w:fill="auto"/>
            <w:noWrap/>
            <w:vAlign w:val="bottom"/>
            <w:hideMark/>
          </w:tcPr>
          <w:p w14:paraId="52827BE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Trinidad &amp; Tobago</w:t>
            </w:r>
          </w:p>
        </w:tc>
        <w:tc>
          <w:tcPr>
            <w:tcW w:w="1095" w:type="dxa"/>
            <w:tcBorders>
              <w:top w:val="nil"/>
              <w:left w:val="single" w:sz="4" w:space="0" w:color="auto"/>
              <w:bottom w:val="nil"/>
              <w:right w:val="nil"/>
            </w:tcBorders>
            <w:shd w:val="clear" w:color="000000" w:fill="A9D08E"/>
            <w:noWrap/>
            <w:vAlign w:val="bottom"/>
            <w:hideMark/>
          </w:tcPr>
          <w:p w14:paraId="72D9613A"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1.81</w:t>
            </w:r>
          </w:p>
        </w:tc>
        <w:tc>
          <w:tcPr>
            <w:tcW w:w="992" w:type="dxa"/>
            <w:tcBorders>
              <w:top w:val="nil"/>
              <w:left w:val="nil"/>
              <w:bottom w:val="nil"/>
              <w:right w:val="nil"/>
            </w:tcBorders>
            <w:shd w:val="clear" w:color="auto" w:fill="FFE599"/>
            <w:noWrap/>
            <w:vAlign w:val="bottom"/>
            <w:hideMark/>
          </w:tcPr>
          <w:p w14:paraId="1873F35F"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1.03</w:t>
            </w:r>
          </w:p>
        </w:tc>
        <w:tc>
          <w:tcPr>
            <w:tcW w:w="851" w:type="dxa"/>
            <w:tcBorders>
              <w:top w:val="nil"/>
              <w:left w:val="nil"/>
              <w:bottom w:val="nil"/>
              <w:right w:val="nil"/>
            </w:tcBorders>
            <w:shd w:val="clear" w:color="000000" w:fill="A9D08E"/>
            <w:noWrap/>
            <w:vAlign w:val="bottom"/>
            <w:hideMark/>
          </w:tcPr>
          <w:p w14:paraId="334C3C62"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1.63</w:t>
            </w:r>
          </w:p>
        </w:tc>
        <w:tc>
          <w:tcPr>
            <w:tcW w:w="992" w:type="dxa"/>
            <w:tcBorders>
              <w:top w:val="nil"/>
              <w:left w:val="nil"/>
              <w:bottom w:val="nil"/>
              <w:right w:val="nil"/>
            </w:tcBorders>
            <w:shd w:val="clear" w:color="000000" w:fill="A9D08E"/>
            <w:noWrap/>
            <w:vAlign w:val="bottom"/>
            <w:hideMark/>
          </w:tcPr>
          <w:p w14:paraId="0EB55046"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2.36</w:t>
            </w:r>
          </w:p>
        </w:tc>
        <w:tc>
          <w:tcPr>
            <w:tcW w:w="992" w:type="dxa"/>
            <w:tcBorders>
              <w:top w:val="nil"/>
              <w:left w:val="nil"/>
              <w:bottom w:val="nil"/>
              <w:right w:val="nil"/>
            </w:tcBorders>
            <w:shd w:val="clear" w:color="000000" w:fill="A9D08E"/>
            <w:noWrap/>
            <w:vAlign w:val="bottom"/>
            <w:hideMark/>
          </w:tcPr>
          <w:p w14:paraId="5CD54AA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2.20</w:t>
            </w:r>
          </w:p>
        </w:tc>
        <w:tc>
          <w:tcPr>
            <w:tcW w:w="851" w:type="dxa"/>
            <w:tcBorders>
              <w:top w:val="nil"/>
              <w:left w:val="nil"/>
              <w:bottom w:val="nil"/>
              <w:right w:val="nil"/>
            </w:tcBorders>
            <w:shd w:val="clear" w:color="auto" w:fill="auto"/>
            <w:noWrap/>
            <w:vAlign w:val="bottom"/>
            <w:hideMark/>
          </w:tcPr>
          <w:p w14:paraId="7D9D8523"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r w:rsidR="00F76AD0" w:rsidRPr="00F76AD0" w14:paraId="719A01B6" w14:textId="77777777" w:rsidTr="00602FD0">
        <w:trPr>
          <w:trHeight w:val="255"/>
        </w:trPr>
        <w:tc>
          <w:tcPr>
            <w:tcW w:w="1457" w:type="dxa"/>
            <w:tcBorders>
              <w:top w:val="nil"/>
              <w:left w:val="nil"/>
              <w:right w:val="single" w:sz="4" w:space="0" w:color="auto"/>
            </w:tcBorders>
            <w:shd w:val="clear" w:color="auto" w:fill="auto"/>
            <w:noWrap/>
            <w:vAlign w:val="bottom"/>
            <w:hideMark/>
          </w:tcPr>
          <w:p w14:paraId="4D057A91"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Turkey</w:t>
            </w:r>
          </w:p>
        </w:tc>
        <w:tc>
          <w:tcPr>
            <w:tcW w:w="1095" w:type="dxa"/>
            <w:tcBorders>
              <w:top w:val="nil"/>
              <w:left w:val="single" w:sz="4" w:space="0" w:color="auto"/>
              <w:right w:val="nil"/>
            </w:tcBorders>
            <w:shd w:val="clear" w:color="auto" w:fill="auto"/>
            <w:noWrap/>
            <w:vAlign w:val="bottom"/>
            <w:hideMark/>
          </w:tcPr>
          <w:p w14:paraId="663BE1F1"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0.07</w:t>
            </w:r>
          </w:p>
        </w:tc>
        <w:tc>
          <w:tcPr>
            <w:tcW w:w="992" w:type="dxa"/>
            <w:tcBorders>
              <w:top w:val="nil"/>
              <w:left w:val="nil"/>
              <w:right w:val="nil"/>
            </w:tcBorders>
            <w:shd w:val="clear" w:color="auto" w:fill="auto"/>
            <w:noWrap/>
            <w:vAlign w:val="bottom"/>
            <w:hideMark/>
          </w:tcPr>
          <w:p w14:paraId="2257CF84"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right w:val="nil"/>
            </w:tcBorders>
            <w:shd w:val="clear" w:color="auto" w:fill="auto"/>
            <w:noWrap/>
            <w:vAlign w:val="bottom"/>
            <w:hideMark/>
          </w:tcPr>
          <w:p w14:paraId="1DC0C33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0.06</w:t>
            </w:r>
          </w:p>
        </w:tc>
        <w:tc>
          <w:tcPr>
            <w:tcW w:w="992" w:type="dxa"/>
            <w:tcBorders>
              <w:top w:val="nil"/>
              <w:left w:val="nil"/>
              <w:right w:val="nil"/>
            </w:tcBorders>
            <w:shd w:val="clear" w:color="auto" w:fill="auto"/>
            <w:noWrap/>
            <w:vAlign w:val="bottom"/>
            <w:hideMark/>
          </w:tcPr>
          <w:p w14:paraId="070CBFD0"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0.04</w:t>
            </w:r>
          </w:p>
        </w:tc>
        <w:tc>
          <w:tcPr>
            <w:tcW w:w="992" w:type="dxa"/>
            <w:tcBorders>
              <w:top w:val="nil"/>
              <w:left w:val="nil"/>
              <w:right w:val="nil"/>
            </w:tcBorders>
            <w:shd w:val="clear" w:color="auto" w:fill="auto"/>
            <w:noWrap/>
            <w:vAlign w:val="bottom"/>
            <w:hideMark/>
          </w:tcPr>
          <w:p w14:paraId="0F274AF5"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0.07</w:t>
            </w:r>
          </w:p>
        </w:tc>
        <w:tc>
          <w:tcPr>
            <w:tcW w:w="851" w:type="dxa"/>
            <w:tcBorders>
              <w:top w:val="nil"/>
              <w:left w:val="nil"/>
              <w:right w:val="nil"/>
            </w:tcBorders>
            <w:shd w:val="clear" w:color="auto" w:fill="auto"/>
            <w:noWrap/>
            <w:vAlign w:val="bottom"/>
            <w:hideMark/>
          </w:tcPr>
          <w:p w14:paraId="71735BEA"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0.09</w:t>
            </w:r>
          </w:p>
        </w:tc>
      </w:tr>
      <w:tr w:rsidR="00F76AD0" w:rsidRPr="00F76AD0" w14:paraId="674FFED2" w14:textId="77777777" w:rsidTr="00602FD0">
        <w:trPr>
          <w:trHeight w:val="255"/>
        </w:trPr>
        <w:tc>
          <w:tcPr>
            <w:tcW w:w="1457" w:type="dxa"/>
            <w:tcBorders>
              <w:top w:val="nil"/>
              <w:left w:val="nil"/>
              <w:bottom w:val="single" w:sz="4" w:space="0" w:color="auto"/>
              <w:right w:val="single" w:sz="4" w:space="0" w:color="auto"/>
            </w:tcBorders>
            <w:shd w:val="clear" w:color="auto" w:fill="auto"/>
            <w:noWrap/>
            <w:vAlign w:val="bottom"/>
            <w:hideMark/>
          </w:tcPr>
          <w:p w14:paraId="3C409DED"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USA</w:t>
            </w:r>
          </w:p>
        </w:tc>
        <w:tc>
          <w:tcPr>
            <w:tcW w:w="1095" w:type="dxa"/>
            <w:tcBorders>
              <w:top w:val="nil"/>
              <w:left w:val="single" w:sz="4" w:space="0" w:color="auto"/>
              <w:bottom w:val="single" w:sz="4" w:space="0" w:color="auto"/>
              <w:right w:val="nil"/>
            </w:tcBorders>
            <w:shd w:val="clear" w:color="auto" w:fill="auto"/>
            <w:noWrap/>
            <w:vAlign w:val="bottom"/>
            <w:hideMark/>
          </w:tcPr>
          <w:p w14:paraId="15F75BDA"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single" w:sz="4" w:space="0" w:color="auto"/>
              <w:right w:val="nil"/>
            </w:tcBorders>
            <w:shd w:val="clear" w:color="auto" w:fill="auto"/>
            <w:noWrap/>
            <w:vAlign w:val="bottom"/>
            <w:hideMark/>
          </w:tcPr>
          <w:p w14:paraId="4D8B6A00"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851" w:type="dxa"/>
            <w:tcBorders>
              <w:top w:val="nil"/>
              <w:left w:val="nil"/>
              <w:bottom w:val="single" w:sz="4" w:space="0" w:color="auto"/>
              <w:right w:val="nil"/>
            </w:tcBorders>
            <w:shd w:val="clear" w:color="auto" w:fill="auto"/>
            <w:noWrap/>
            <w:vAlign w:val="bottom"/>
            <w:hideMark/>
          </w:tcPr>
          <w:p w14:paraId="786E577D"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single" w:sz="4" w:space="0" w:color="auto"/>
              <w:right w:val="nil"/>
            </w:tcBorders>
            <w:shd w:val="clear" w:color="auto" w:fill="auto"/>
            <w:noWrap/>
            <w:vAlign w:val="bottom"/>
            <w:hideMark/>
          </w:tcPr>
          <w:p w14:paraId="3C1F6047"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c>
          <w:tcPr>
            <w:tcW w:w="992" w:type="dxa"/>
            <w:tcBorders>
              <w:top w:val="nil"/>
              <w:left w:val="nil"/>
              <w:bottom w:val="single" w:sz="4" w:space="0" w:color="auto"/>
              <w:right w:val="nil"/>
            </w:tcBorders>
            <w:shd w:val="clear" w:color="000000" w:fill="A9D08E"/>
            <w:noWrap/>
            <w:vAlign w:val="bottom"/>
            <w:hideMark/>
          </w:tcPr>
          <w:p w14:paraId="1ABD6607" w14:textId="77777777" w:rsidR="00F76AD0" w:rsidRPr="00F76AD0" w:rsidRDefault="00F76AD0" w:rsidP="00F76AD0">
            <w:pPr>
              <w:shd w:val="clear" w:color="auto" w:fill="FFFFFF"/>
              <w:spacing w:after="0"/>
              <w:rPr>
                <w:rFonts w:eastAsia="Times New Roman" w:cs="Times New Roman"/>
                <w:color w:val="4A4A4A"/>
                <w:sz w:val="21"/>
                <w:szCs w:val="21"/>
                <w:lang w:eastAsia="en-GB"/>
              </w:rPr>
            </w:pPr>
            <w:r w:rsidRPr="00F76AD0">
              <w:rPr>
                <w:rFonts w:eastAsia="Times New Roman" w:cs="Times New Roman"/>
                <w:color w:val="4A4A4A"/>
                <w:sz w:val="21"/>
                <w:szCs w:val="21"/>
                <w:lang w:eastAsia="en-GB"/>
              </w:rPr>
              <w:t>2.55</w:t>
            </w:r>
          </w:p>
        </w:tc>
        <w:tc>
          <w:tcPr>
            <w:tcW w:w="851" w:type="dxa"/>
            <w:tcBorders>
              <w:top w:val="nil"/>
              <w:left w:val="nil"/>
              <w:bottom w:val="single" w:sz="4" w:space="0" w:color="auto"/>
              <w:right w:val="nil"/>
            </w:tcBorders>
            <w:shd w:val="clear" w:color="auto" w:fill="auto"/>
            <w:noWrap/>
            <w:vAlign w:val="bottom"/>
            <w:hideMark/>
          </w:tcPr>
          <w:p w14:paraId="6EFFD309" w14:textId="77777777" w:rsidR="00F76AD0" w:rsidRPr="00F76AD0" w:rsidRDefault="00F76AD0" w:rsidP="00F76AD0">
            <w:pPr>
              <w:shd w:val="clear" w:color="auto" w:fill="FFFFFF"/>
              <w:spacing w:after="0"/>
              <w:rPr>
                <w:rFonts w:eastAsia="Times New Roman" w:cs="Times New Roman"/>
                <w:color w:val="4A4A4A"/>
                <w:sz w:val="21"/>
                <w:szCs w:val="21"/>
                <w:lang w:eastAsia="en-GB"/>
              </w:rPr>
            </w:pPr>
          </w:p>
        </w:tc>
      </w:tr>
    </w:tbl>
    <w:p w14:paraId="2E8B58E9" w14:textId="77777777" w:rsidR="00F76AD0" w:rsidRPr="00573631" w:rsidRDefault="00F76AD0" w:rsidP="00A61D74">
      <w:pPr>
        <w:shd w:val="clear" w:color="auto" w:fill="FFFFFF"/>
        <w:spacing w:after="0"/>
        <w:rPr>
          <w:rFonts w:eastAsia="Times New Roman" w:cs="Times New Roman"/>
          <w:color w:val="4A4A4A"/>
          <w:sz w:val="21"/>
          <w:szCs w:val="21"/>
          <w:lang w:eastAsia="en-GB"/>
        </w:rPr>
      </w:pPr>
    </w:p>
    <w:p w14:paraId="77AF477E" w14:textId="77777777" w:rsidR="0058556D" w:rsidRPr="00573631" w:rsidRDefault="0058556D" w:rsidP="00573631">
      <w:pPr>
        <w:keepNext/>
        <w:keepLines/>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Time series:</w:t>
      </w:r>
    </w:p>
    <w:p w14:paraId="7424CBC2" w14:textId="723F60BE" w:rsidR="00F76AD0" w:rsidRDefault="003A5E30" w:rsidP="00573631">
      <w:pPr>
        <w:keepNext/>
        <w:keepLines/>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To date d</w:t>
      </w:r>
      <w:r w:rsidR="00F76AD0">
        <w:rPr>
          <w:rFonts w:eastAsia="Times New Roman" w:cs="Times New Roman"/>
          <w:color w:val="4A4A4A"/>
          <w:sz w:val="21"/>
          <w:szCs w:val="21"/>
          <w:lang w:eastAsia="en-GB"/>
        </w:rPr>
        <w:t xml:space="preserve">ata are available for the years </w:t>
      </w:r>
      <w:r w:rsidR="00F76AD0" w:rsidRPr="00F76AD0">
        <w:rPr>
          <w:rFonts w:eastAsia="Times New Roman" w:cs="Times New Roman"/>
          <w:color w:val="4A4A4A"/>
          <w:sz w:val="21"/>
          <w:szCs w:val="21"/>
          <w:lang w:eastAsia="en-GB"/>
        </w:rPr>
        <w:t>2009-2013</w:t>
      </w:r>
      <w:r w:rsidR="00F76AD0">
        <w:rPr>
          <w:rFonts w:eastAsia="Times New Roman" w:cs="Times New Roman"/>
          <w:color w:val="4A4A4A"/>
          <w:sz w:val="21"/>
          <w:szCs w:val="21"/>
          <w:lang w:eastAsia="en-GB"/>
        </w:rPr>
        <w:t>.</w:t>
      </w:r>
    </w:p>
    <w:p w14:paraId="046F4539" w14:textId="77777777" w:rsidR="003A5E30" w:rsidRPr="00F76AD0" w:rsidRDefault="003A5E30" w:rsidP="00573631">
      <w:pPr>
        <w:keepNext/>
        <w:keepLines/>
        <w:shd w:val="clear" w:color="auto" w:fill="FFFFFF"/>
        <w:spacing w:after="0"/>
        <w:rPr>
          <w:rFonts w:eastAsia="Times New Roman" w:cs="Times New Roman"/>
          <w:color w:val="4A4A4A"/>
          <w:sz w:val="21"/>
          <w:szCs w:val="21"/>
          <w:lang w:eastAsia="en-GB"/>
        </w:rPr>
      </w:pPr>
    </w:p>
    <w:p w14:paraId="1444C8DB" w14:textId="77777777" w:rsidR="0058556D" w:rsidRPr="00573631" w:rsidRDefault="0058556D" w:rsidP="00573631">
      <w:pPr>
        <w:pBdr>
          <w:bottom w:val="single" w:sz="12" w:space="4" w:color="DDDDDD"/>
        </w:pBdr>
        <w:shd w:val="clear" w:color="auto" w:fill="FFFFFF"/>
        <w:spacing w:after="0"/>
        <w:outlineLvl w:val="2"/>
        <w:rPr>
          <w:rFonts w:eastAsia="Times New Roman" w:cs="Times New Roman"/>
          <w:color w:val="1C75BC"/>
          <w:sz w:val="36"/>
          <w:szCs w:val="36"/>
          <w:lang w:eastAsia="en-GB"/>
        </w:rPr>
      </w:pPr>
      <w:r w:rsidRPr="00573631">
        <w:rPr>
          <w:rFonts w:eastAsia="Times New Roman" w:cs="Times New Roman"/>
          <w:color w:val="1C75BC"/>
          <w:sz w:val="36"/>
          <w:szCs w:val="36"/>
          <w:lang w:eastAsia="en-GB"/>
        </w:rPr>
        <w:t>Calendar</w:t>
      </w:r>
    </w:p>
    <w:p w14:paraId="2DDA32E1" w14:textId="77777777" w:rsidR="0058556D" w:rsidRPr="00573631" w:rsidRDefault="0058556D" w:rsidP="00573631">
      <w:pPr>
        <w:shd w:val="clear" w:color="auto" w:fill="FFFFFF"/>
        <w:spacing w:after="0"/>
        <w:rPr>
          <w:rFonts w:eastAsia="Times New Roman" w:cs="Times New Roman"/>
          <w:b/>
          <w:bCs/>
          <w:color w:val="4A4A4A"/>
          <w:sz w:val="21"/>
          <w:szCs w:val="21"/>
          <w:lang w:eastAsia="en-GB"/>
        </w:rPr>
      </w:pPr>
    </w:p>
    <w:p w14:paraId="26DEB9DB"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Data collection:</w:t>
      </w:r>
    </w:p>
    <w:p w14:paraId="47CE319F" w14:textId="29F41CAF" w:rsidR="00F76AD0" w:rsidRPr="00F76AD0" w:rsidRDefault="003A5E30" w:rsidP="00A61D74">
      <w:pPr>
        <w:shd w:val="clear" w:color="auto" w:fill="FFFFFF"/>
        <w:tabs>
          <w:tab w:val="left" w:pos="1320"/>
        </w:tabs>
        <w:spacing w:after="0"/>
        <w:rPr>
          <w:rFonts w:eastAsia="Times New Roman" w:cs="Times New Roman"/>
          <w:color w:val="4A4A4A"/>
          <w:sz w:val="21"/>
          <w:szCs w:val="21"/>
          <w:lang w:eastAsia="en-GB"/>
        </w:rPr>
      </w:pPr>
      <w:r>
        <w:rPr>
          <w:rFonts w:eastAsia="Times New Roman" w:cs="Times New Roman"/>
          <w:color w:val="4A4A4A"/>
          <w:sz w:val="21"/>
          <w:szCs w:val="21"/>
          <w:lang w:eastAsia="en-GB"/>
        </w:rPr>
        <w:t>The next data collection is planned for the f</w:t>
      </w:r>
      <w:r w:rsidR="00F76AD0" w:rsidRPr="00F76AD0">
        <w:rPr>
          <w:rFonts w:eastAsia="Times New Roman" w:cs="Times New Roman"/>
          <w:color w:val="4A4A4A"/>
          <w:sz w:val="21"/>
          <w:szCs w:val="21"/>
          <w:lang w:eastAsia="en-GB"/>
        </w:rPr>
        <w:t>irst quarter of 2018</w:t>
      </w:r>
      <w:r w:rsidR="00F76AD0">
        <w:rPr>
          <w:rFonts w:eastAsia="Times New Roman" w:cs="Times New Roman"/>
          <w:color w:val="4A4A4A"/>
          <w:sz w:val="21"/>
          <w:szCs w:val="21"/>
          <w:lang w:eastAsia="en-GB"/>
        </w:rPr>
        <w:t xml:space="preserve"> for the years 2014-2016.</w:t>
      </w:r>
    </w:p>
    <w:p w14:paraId="134776D8" w14:textId="77777777" w:rsidR="00F76AD0" w:rsidRDefault="00F76AD0" w:rsidP="00A61D74">
      <w:pPr>
        <w:shd w:val="clear" w:color="auto" w:fill="FFFFFF"/>
        <w:tabs>
          <w:tab w:val="left" w:pos="1320"/>
        </w:tabs>
        <w:spacing w:after="0"/>
        <w:rPr>
          <w:rFonts w:eastAsia="Times New Roman" w:cs="Times New Roman"/>
          <w:color w:val="4A4A4A"/>
          <w:sz w:val="21"/>
          <w:szCs w:val="21"/>
          <w:highlight w:val="yellow"/>
          <w:lang w:eastAsia="en-GB"/>
        </w:rPr>
      </w:pPr>
    </w:p>
    <w:p w14:paraId="3A4A9498" w14:textId="77777777" w:rsidR="00A61D74" w:rsidRPr="00573631" w:rsidRDefault="00A61D74" w:rsidP="00A61D74">
      <w:pPr>
        <w:shd w:val="clear" w:color="auto" w:fill="FFFFFF"/>
        <w:tabs>
          <w:tab w:val="left" w:pos="1320"/>
        </w:tabs>
        <w:spacing w:after="0"/>
        <w:rPr>
          <w:rFonts w:eastAsia="Times New Roman" w:cs="Times New Roman"/>
          <w:color w:val="4A4A4A"/>
          <w:sz w:val="21"/>
          <w:szCs w:val="21"/>
          <w:lang w:eastAsia="en-GB"/>
        </w:rPr>
      </w:pPr>
    </w:p>
    <w:p w14:paraId="5A3350D3" w14:textId="77777777" w:rsidR="0058556D" w:rsidRPr="00573631" w:rsidRDefault="0058556D" w:rsidP="00573631">
      <w:pPr>
        <w:shd w:val="clear" w:color="auto" w:fill="FFFFFF"/>
        <w:spacing w:after="0"/>
        <w:rPr>
          <w:rFonts w:eastAsia="Times New Roman" w:cs="Times New Roman"/>
          <w:color w:val="4A4A4A"/>
          <w:sz w:val="21"/>
          <w:szCs w:val="21"/>
          <w:lang w:eastAsia="en-GB"/>
        </w:rPr>
      </w:pPr>
      <w:r w:rsidRPr="00573631">
        <w:rPr>
          <w:rFonts w:eastAsia="Times New Roman" w:cs="Times New Roman"/>
          <w:b/>
          <w:bCs/>
          <w:color w:val="4A4A4A"/>
          <w:sz w:val="21"/>
          <w:szCs w:val="21"/>
          <w:lang w:eastAsia="en-GB"/>
        </w:rPr>
        <w:t>Data release:</w:t>
      </w:r>
    </w:p>
    <w:p w14:paraId="0143A95F" w14:textId="48504E7A" w:rsidR="001729B5" w:rsidRPr="00F76AD0" w:rsidRDefault="003A5E30" w:rsidP="001729B5">
      <w:pPr>
        <w:shd w:val="clear" w:color="auto" w:fill="FFFFFF"/>
        <w:tabs>
          <w:tab w:val="left" w:pos="1320"/>
        </w:tabs>
        <w:spacing w:after="0"/>
        <w:rPr>
          <w:rFonts w:eastAsia="Times New Roman" w:cs="Times New Roman"/>
          <w:color w:val="4A4A4A"/>
          <w:sz w:val="21"/>
          <w:szCs w:val="21"/>
          <w:lang w:eastAsia="en-GB"/>
        </w:rPr>
      </w:pPr>
      <w:r w:rsidRPr="003A5E30">
        <w:rPr>
          <w:rFonts w:eastAsia="Times New Roman" w:cs="Times New Roman"/>
          <w:color w:val="4A4A4A"/>
          <w:sz w:val="21"/>
          <w:szCs w:val="21"/>
          <w:lang w:eastAsia="en-GB"/>
        </w:rPr>
        <w:t>Expected dates of release of new data</w:t>
      </w:r>
      <w:r>
        <w:rPr>
          <w:rFonts w:eastAsia="Times New Roman" w:cs="Times New Roman"/>
          <w:color w:val="4A4A4A"/>
          <w:sz w:val="21"/>
          <w:szCs w:val="21"/>
          <w:lang w:eastAsia="en-GB"/>
        </w:rPr>
        <w:t>:</w:t>
      </w:r>
      <w:r w:rsidRPr="003A5E30">
        <w:rPr>
          <w:rFonts w:eastAsia="Times New Roman" w:cs="Times New Roman"/>
          <w:color w:val="4A4A4A"/>
          <w:sz w:val="21"/>
          <w:szCs w:val="21"/>
          <w:lang w:eastAsia="en-GB"/>
        </w:rPr>
        <w:t xml:space="preserve"> </w:t>
      </w:r>
      <w:r w:rsidR="001729B5" w:rsidRPr="00F76AD0">
        <w:rPr>
          <w:rFonts w:eastAsia="Times New Roman" w:cs="Times New Roman"/>
          <w:color w:val="4A4A4A"/>
          <w:sz w:val="21"/>
          <w:szCs w:val="21"/>
          <w:lang w:eastAsia="en-GB"/>
        </w:rPr>
        <w:t>First</w:t>
      </w:r>
      <w:r>
        <w:rPr>
          <w:rFonts w:eastAsia="Times New Roman" w:cs="Times New Roman"/>
          <w:color w:val="4A4A4A"/>
          <w:sz w:val="21"/>
          <w:szCs w:val="21"/>
          <w:lang w:eastAsia="en-GB"/>
        </w:rPr>
        <w:t>/Second</w:t>
      </w:r>
      <w:r w:rsidR="001729B5" w:rsidRPr="00F76AD0">
        <w:rPr>
          <w:rFonts w:eastAsia="Times New Roman" w:cs="Times New Roman"/>
          <w:color w:val="4A4A4A"/>
          <w:sz w:val="21"/>
          <w:szCs w:val="21"/>
          <w:lang w:eastAsia="en-GB"/>
        </w:rPr>
        <w:t xml:space="preserve"> quarter of 2018</w:t>
      </w:r>
      <w:r w:rsidR="001729B5">
        <w:rPr>
          <w:rFonts w:eastAsia="Times New Roman" w:cs="Times New Roman"/>
          <w:color w:val="4A4A4A"/>
          <w:sz w:val="21"/>
          <w:szCs w:val="21"/>
          <w:lang w:eastAsia="en-GB"/>
        </w:rPr>
        <w:t xml:space="preserve"> for the years 2014-2016.</w:t>
      </w:r>
    </w:p>
    <w:p w14:paraId="215627DA" w14:textId="77777777" w:rsidR="001729B5" w:rsidRDefault="001729B5" w:rsidP="00573631">
      <w:pPr>
        <w:shd w:val="clear" w:color="auto" w:fill="FFFFFF"/>
        <w:spacing w:after="0"/>
        <w:rPr>
          <w:rFonts w:eastAsia="Times New Roman" w:cs="Times New Roman"/>
          <w:color w:val="4A4A4A"/>
          <w:sz w:val="21"/>
          <w:szCs w:val="21"/>
          <w:highlight w:val="yellow"/>
          <w:lang w:eastAsia="en-GB"/>
        </w:rPr>
      </w:pPr>
    </w:p>
    <w:p w14:paraId="45025639" w14:textId="77777777" w:rsidR="0058556D" w:rsidRPr="00573631" w:rsidRDefault="0058556D" w:rsidP="00573631">
      <w:pPr>
        <w:pBdr>
          <w:bottom w:val="single" w:sz="12" w:space="4" w:color="DDDDDD"/>
        </w:pBdr>
        <w:shd w:val="clear" w:color="auto" w:fill="FFFFFF"/>
        <w:spacing w:after="0"/>
        <w:outlineLvl w:val="2"/>
        <w:rPr>
          <w:rFonts w:eastAsia="Times New Roman" w:cs="Times New Roman"/>
          <w:color w:val="1C75BC"/>
          <w:sz w:val="36"/>
          <w:szCs w:val="36"/>
          <w:lang w:eastAsia="en-GB"/>
        </w:rPr>
      </w:pPr>
      <w:r w:rsidRPr="00573631">
        <w:rPr>
          <w:rFonts w:eastAsia="Times New Roman" w:cs="Times New Roman"/>
          <w:color w:val="1C75BC"/>
          <w:sz w:val="36"/>
          <w:szCs w:val="36"/>
          <w:lang w:eastAsia="en-GB"/>
        </w:rPr>
        <w:t>Data providers</w:t>
      </w:r>
    </w:p>
    <w:p w14:paraId="7A2C98AB" w14:textId="72F72242" w:rsidR="001729B5" w:rsidRPr="001729B5" w:rsidRDefault="001729B5" w:rsidP="00A61D74">
      <w:pPr>
        <w:shd w:val="clear" w:color="auto" w:fill="FFFFFF"/>
        <w:spacing w:after="0"/>
        <w:rPr>
          <w:rFonts w:eastAsia="Times New Roman" w:cs="Times New Roman"/>
          <w:color w:val="4A4A4A"/>
          <w:sz w:val="21"/>
          <w:szCs w:val="21"/>
          <w:lang w:eastAsia="en-GB"/>
        </w:rPr>
      </w:pPr>
      <w:r w:rsidRPr="001729B5">
        <w:rPr>
          <w:rFonts w:eastAsia="Times New Roman" w:cs="Times New Roman"/>
          <w:color w:val="4A4A4A"/>
          <w:sz w:val="21"/>
          <w:szCs w:val="21"/>
          <w:lang w:eastAsia="en-GB"/>
        </w:rPr>
        <w:t>IOC focal points</w:t>
      </w:r>
    </w:p>
    <w:p w14:paraId="0DEA2BFA" w14:textId="59A09F1B" w:rsidR="001729B5" w:rsidRPr="001729B5" w:rsidRDefault="001729B5" w:rsidP="00A61D74">
      <w:pPr>
        <w:shd w:val="clear" w:color="auto" w:fill="FFFFFF"/>
        <w:spacing w:after="0"/>
        <w:rPr>
          <w:rFonts w:eastAsia="Times New Roman" w:cs="Times New Roman"/>
          <w:color w:val="4A4A4A"/>
          <w:sz w:val="21"/>
          <w:szCs w:val="21"/>
          <w:lang w:eastAsia="en-GB"/>
        </w:rPr>
      </w:pPr>
      <w:r w:rsidRPr="001729B5">
        <w:rPr>
          <w:rFonts w:eastAsia="Times New Roman" w:cs="Times New Roman"/>
          <w:color w:val="4A4A4A"/>
          <w:sz w:val="21"/>
          <w:szCs w:val="21"/>
          <w:lang w:eastAsia="en-GB"/>
        </w:rPr>
        <w:t>NSOs</w:t>
      </w:r>
    </w:p>
    <w:p w14:paraId="0204B59D" w14:textId="076A80EB" w:rsidR="001729B5" w:rsidRPr="001729B5" w:rsidRDefault="001729B5" w:rsidP="00A61D74">
      <w:pPr>
        <w:shd w:val="clear" w:color="auto" w:fill="FFFFFF"/>
        <w:spacing w:after="0"/>
        <w:rPr>
          <w:rFonts w:eastAsia="Times New Roman" w:cs="Times New Roman"/>
          <w:color w:val="4A4A4A"/>
          <w:sz w:val="21"/>
          <w:szCs w:val="21"/>
          <w:lang w:eastAsia="en-GB"/>
        </w:rPr>
      </w:pPr>
      <w:r w:rsidRPr="001729B5">
        <w:rPr>
          <w:rFonts w:eastAsia="Times New Roman" w:cs="Times New Roman"/>
          <w:color w:val="4A4A4A"/>
          <w:sz w:val="21"/>
          <w:szCs w:val="21"/>
          <w:lang w:eastAsia="en-GB"/>
        </w:rPr>
        <w:t>UIS</w:t>
      </w:r>
    </w:p>
    <w:p w14:paraId="2EC840EA" w14:textId="77777777" w:rsidR="00A61D74" w:rsidRPr="00573631" w:rsidRDefault="00A61D74" w:rsidP="00A61D74">
      <w:pPr>
        <w:shd w:val="clear" w:color="auto" w:fill="FFFFFF"/>
        <w:spacing w:after="0"/>
        <w:rPr>
          <w:rFonts w:eastAsia="Times New Roman" w:cs="Times New Roman"/>
          <w:color w:val="4A4A4A"/>
          <w:sz w:val="21"/>
          <w:szCs w:val="21"/>
          <w:lang w:eastAsia="en-GB"/>
        </w:rPr>
      </w:pPr>
    </w:p>
    <w:p w14:paraId="536F2719" w14:textId="77777777" w:rsidR="0058556D" w:rsidRPr="00573631" w:rsidRDefault="0058556D" w:rsidP="00573631">
      <w:pPr>
        <w:pBdr>
          <w:bottom w:val="single" w:sz="12" w:space="4" w:color="DDDDDD"/>
        </w:pBdr>
        <w:shd w:val="clear" w:color="auto" w:fill="FFFFFF"/>
        <w:spacing w:after="0"/>
        <w:outlineLvl w:val="2"/>
        <w:rPr>
          <w:rFonts w:eastAsia="Times New Roman" w:cs="Times New Roman"/>
          <w:color w:val="1C75BC"/>
          <w:sz w:val="36"/>
          <w:szCs w:val="36"/>
          <w:lang w:eastAsia="en-GB"/>
        </w:rPr>
      </w:pPr>
      <w:r w:rsidRPr="00573631">
        <w:rPr>
          <w:rFonts w:eastAsia="Times New Roman" w:cs="Times New Roman"/>
          <w:color w:val="1C75BC"/>
          <w:sz w:val="36"/>
          <w:szCs w:val="36"/>
          <w:lang w:eastAsia="en-GB"/>
        </w:rPr>
        <w:t>Data compilers</w:t>
      </w:r>
    </w:p>
    <w:p w14:paraId="5142F0B7" w14:textId="70AF9EBA" w:rsidR="001729B5" w:rsidRPr="001729B5" w:rsidRDefault="001729B5" w:rsidP="00573631">
      <w:pPr>
        <w:shd w:val="clear" w:color="auto" w:fill="FFFFFF"/>
        <w:spacing w:after="0"/>
        <w:rPr>
          <w:rFonts w:eastAsia="Times New Roman" w:cs="Times New Roman"/>
          <w:color w:val="4A4A4A"/>
          <w:sz w:val="21"/>
          <w:szCs w:val="21"/>
          <w:lang w:eastAsia="en-GB"/>
        </w:rPr>
      </w:pPr>
      <w:r w:rsidRPr="001729B5">
        <w:rPr>
          <w:rFonts w:eastAsia="Times New Roman" w:cs="Times New Roman"/>
          <w:color w:val="4A4A4A"/>
          <w:sz w:val="21"/>
          <w:szCs w:val="21"/>
          <w:lang w:eastAsia="en-GB"/>
        </w:rPr>
        <w:t>Intergovernmental Oceanographic Commission of UNESCO</w:t>
      </w:r>
      <w:r w:rsidR="003A5E30">
        <w:rPr>
          <w:rFonts w:eastAsia="Times New Roman" w:cs="Times New Roman"/>
          <w:color w:val="4A4A4A"/>
          <w:sz w:val="21"/>
          <w:szCs w:val="21"/>
          <w:lang w:eastAsia="en-GB"/>
        </w:rPr>
        <w:t xml:space="preserve"> (IOC-UNESCO)</w:t>
      </w:r>
    </w:p>
    <w:p w14:paraId="3F131479" w14:textId="643094F1" w:rsidR="001729B5" w:rsidRPr="003A5E30" w:rsidRDefault="003A5E30" w:rsidP="00573631">
      <w:pPr>
        <w:shd w:val="clear" w:color="auto" w:fill="FFFFFF"/>
        <w:spacing w:after="0"/>
        <w:rPr>
          <w:rFonts w:eastAsia="Times New Roman" w:cs="Times New Roman"/>
          <w:color w:val="4A4A4A"/>
          <w:sz w:val="21"/>
          <w:szCs w:val="21"/>
          <w:lang w:eastAsia="en-GB"/>
        </w:rPr>
      </w:pPr>
      <w:r w:rsidRPr="003A5E30">
        <w:rPr>
          <w:rFonts w:eastAsia="Times New Roman" w:cs="Times New Roman"/>
          <w:color w:val="4A4A4A"/>
          <w:sz w:val="21"/>
          <w:szCs w:val="21"/>
          <w:lang w:eastAsia="en-GB"/>
        </w:rPr>
        <w:t xml:space="preserve">UNESCO Institute for Statistics (UIS) </w:t>
      </w:r>
    </w:p>
    <w:p w14:paraId="15E5B7B9" w14:textId="77777777" w:rsidR="00A61D74" w:rsidRPr="00573631" w:rsidRDefault="00A61D74" w:rsidP="00573631">
      <w:pPr>
        <w:shd w:val="clear" w:color="auto" w:fill="FFFFFF"/>
        <w:spacing w:after="0"/>
        <w:rPr>
          <w:rFonts w:eastAsia="Times New Roman" w:cs="Times New Roman"/>
          <w:color w:val="4A4A4A"/>
          <w:sz w:val="21"/>
          <w:szCs w:val="21"/>
          <w:lang w:eastAsia="en-GB"/>
        </w:rPr>
      </w:pPr>
    </w:p>
    <w:p w14:paraId="28C5EFB4" w14:textId="77777777" w:rsidR="0058556D" w:rsidRPr="00573631" w:rsidRDefault="0058556D" w:rsidP="00573631">
      <w:pPr>
        <w:pBdr>
          <w:bottom w:val="single" w:sz="12" w:space="4" w:color="DDDDDD"/>
        </w:pBdr>
        <w:shd w:val="clear" w:color="auto" w:fill="FFFFFF"/>
        <w:spacing w:after="0"/>
        <w:outlineLvl w:val="2"/>
        <w:rPr>
          <w:rFonts w:eastAsia="Times New Roman" w:cs="Times New Roman"/>
          <w:color w:val="1C75BC"/>
          <w:sz w:val="36"/>
          <w:szCs w:val="36"/>
          <w:lang w:eastAsia="en-GB"/>
        </w:rPr>
      </w:pPr>
      <w:r w:rsidRPr="00573631">
        <w:rPr>
          <w:rFonts w:eastAsia="Times New Roman" w:cs="Times New Roman"/>
          <w:color w:val="1C75BC"/>
          <w:sz w:val="36"/>
          <w:szCs w:val="36"/>
          <w:lang w:eastAsia="en-GB"/>
        </w:rPr>
        <w:t>References</w:t>
      </w:r>
    </w:p>
    <w:p w14:paraId="5342EA94" w14:textId="685C8F6B" w:rsidR="00803CF1" w:rsidRPr="001729B5" w:rsidRDefault="001729B5" w:rsidP="00573631">
      <w:pPr>
        <w:shd w:val="clear" w:color="auto" w:fill="FFFFFF"/>
        <w:spacing w:after="0"/>
        <w:rPr>
          <w:rFonts w:eastAsia="Times New Roman" w:cs="Times New Roman"/>
          <w:bCs/>
          <w:color w:val="4A4A4A"/>
          <w:sz w:val="21"/>
          <w:szCs w:val="21"/>
          <w:lang w:eastAsia="en-GB"/>
        </w:rPr>
      </w:pPr>
      <w:r w:rsidRPr="001729B5">
        <w:rPr>
          <w:rFonts w:eastAsia="Times New Roman" w:cs="Times New Roman"/>
          <w:bCs/>
          <w:color w:val="4A4A4A"/>
          <w:sz w:val="21"/>
          <w:szCs w:val="21"/>
          <w:lang w:eastAsia="en-GB"/>
        </w:rPr>
        <w:t>IOC-UNESCO (2017), Global Ocean Science Report—The current status of ocean science around the world, L. Valdés et al. (eds), UNESCO Publishing, Paris</w:t>
      </w:r>
    </w:p>
    <w:p w14:paraId="4CC06258" w14:textId="4A8DF4F0" w:rsidR="001729B5" w:rsidRPr="001729B5" w:rsidRDefault="001729B5" w:rsidP="001729B5">
      <w:pPr>
        <w:shd w:val="clear" w:color="auto" w:fill="FFFFFF"/>
        <w:spacing w:after="0"/>
        <w:rPr>
          <w:rFonts w:eastAsia="Times New Roman" w:cs="Times New Roman"/>
          <w:bCs/>
          <w:color w:val="4A4A4A"/>
          <w:sz w:val="21"/>
          <w:szCs w:val="21"/>
          <w:lang w:eastAsia="en-GB"/>
        </w:rPr>
      </w:pPr>
      <w:r w:rsidRPr="001729B5">
        <w:rPr>
          <w:rFonts w:eastAsia="Times New Roman" w:cs="Times New Roman"/>
          <w:bCs/>
          <w:color w:val="4A4A4A"/>
          <w:sz w:val="21"/>
          <w:szCs w:val="21"/>
          <w:lang w:eastAsia="en-GB"/>
        </w:rPr>
        <w:t>Isensee, K., Horn, L. and Schaaper, M. 2017. The funding for ocean science. In: In: IOC-UNESCO, Global Ocean Science Report—The current status of ocean science around the world. L. Valdés et al. (eds). Paris, UNESCO, pp. 80–97.</w:t>
      </w:r>
    </w:p>
    <w:p w14:paraId="42FA83B6" w14:textId="1F9BC5DF" w:rsidR="001729B5" w:rsidRPr="001729B5" w:rsidRDefault="001729B5" w:rsidP="001729B5">
      <w:pPr>
        <w:shd w:val="clear" w:color="auto" w:fill="FFFFFF"/>
        <w:spacing w:after="0"/>
        <w:rPr>
          <w:rFonts w:eastAsia="Times New Roman" w:cs="Times New Roman"/>
          <w:bCs/>
          <w:color w:val="4A4A4A"/>
          <w:sz w:val="21"/>
          <w:szCs w:val="21"/>
          <w:lang w:eastAsia="en-GB"/>
        </w:rPr>
      </w:pPr>
    </w:p>
    <w:p w14:paraId="1FB1647B" w14:textId="77777777" w:rsidR="001729B5" w:rsidRDefault="001729B5" w:rsidP="001729B5">
      <w:pPr>
        <w:spacing w:after="120" w:line="240" w:lineRule="auto"/>
        <w:rPr>
          <w:rFonts w:cs="TimesNewRomanPS-BoldMT"/>
          <w:bCs/>
        </w:rPr>
      </w:pPr>
      <w:r w:rsidRPr="00672736">
        <w:rPr>
          <w:rFonts w:cs="TimesNewRomanPS-BoldMT"/>
          <w:bCs/>
        </w:rPr>
        <w:t>GOSR report (relevant chapters 2 and 4)</w:t>
      </w:r>
    </w:p>
    <w:p w14:paraId="73688EBC" w14:textId="77777777" w:rsidR="001729B5" w:rsidRDefault="007C500D" w:rsidP="001729B5">
      <w:pPr>
        <w:spacing w:after="120" w:line="240" w:lineRule="auto"/>
        <w:rPr>
          <w:rFonts w:cs="TimesNewRomanPS-BoldMT"/>
          <w:bCs/>
        </w:rPr>
      </w:pPr>
      <w:hyperlink r:id="rId12" w:history="1">
        <w:r w:rsidR="001729B5" w:rsidRPr="001B0EE8">
          <w:rPr>
            <w:rStyle w:val="Hyperlink"/>
            <w:rFonts w:cs="TimesNewRomanPS-BoldMT"/>
            <w:bCs/>
          </w:rPr>
          <w:t>http://en.unesco.org/gosr</w:t>
        </w:r>
      </w:hyperlink>
    </w:p>
    <w:p w14:paraId="20053F2C" w14:textId="62506EE7" w:rsidR="001729B5" w:rsidRDefault="001729B5" w:rsidP="001729B5">
      <w:pPr>
        <w:spacing w:after="120" w:line="240" w:lineRule="auto"/>
        <w:rPr>
          <w:rFonts w:eastAsia="Times New Roman"/>
          <w:bCs/>
        </w:rPr>
      </w:pPr>
      <w:r>
        <w:rPr>
          <w:rFonts w:eastAsia="Times New Roman"/>
          <w:bCs/>
        </w:rPr>
        <w:t>UNESCO Science Report</w:t>
      </w:r>
      <w:r w:rsidR="003A5E30">
        <w:rPr>
          <w:rFonts w:eastAsia="Times New Roman"/>
          <w:bCs/>
        </w:rPr>
        <w:t xml:space="preserve"> 2010, 2015</w:t>
      </w:r>
    </w:p>
    <w:p w14:paraId="705A9A6F" w14:textId="546E216D" w:rsidR="001729B5" w:rsidRDefault="007C500D" w:rsidP="001729B5">
      <w:pPr>
        <w:spacing w:after="120" w:line="240" w:lineRule="auto"/>
        <w:rPr>
          <w:rFonts w:eastAsia="Times New Roman"/>
          <w:bCs/>
        </w:rPr>
      </w:pPr>
      <w:hyperlink r:id="rId13" w:history="1">
        <w:r w:rsidR="001729B5" w:rsidRPr="006D04C9">
          <w:rPr>
            <w:rStyle w:val="Hyperlink"/>
            <w:rFonts w:eastAsia="Times New Roman"/>
            <w:bCs/>
          </w:rPr>
          <w:t>https://en.unesco.org/unesco_science_report</w:t>
        </w:r>
      </w:hyperlink>
      <w:r w:rsidR="001729B5">
        <w:rPr>
          <w:rFonts w:eastAsia="Times New Roman"/>
          <w:bCs/>
        </w:rPr>
        <w:t xml:space="preserve"> </w:t>
      </w:r>
    </w:p>
    <w:p w14:paraId="0D38AA27" w14:textId="202CC3A7" w:rsidR="001729B5" w:rsidRDefault="001729B5" w:rsidP="001729B5">
      <w:pPr>
        <w:spacing w:after="120" w:line="240" w:lineRule="auto"/>
        <w:rPr>
          <w:rFonts w:eastAsia="Times New Roman"/>
          <w:bCs/>
        </w:rPr>
      </w:pPr>
      <w:r>
        <w:rPr>
          <w:rFonts w:eastAsia="Times New Roman"/>
          <w:bCs/>
        </w:rPr>
        <w:t>IOC Assembly D</w:t>
      </w:r>
      <w:r w:rsidRPr="00672736">
        <w:rPr>
          <w:rFonts w:eastAsia="Times New Roman"/>
          <w:bCs/>
        </w:rPr>
        <w:t>ecisions: IOC-XXIX/5.1. and IOC-XXIX/9.1.)</w:t>
      </w:r>
    </w:p>
    <w:p w14:paraId="51E4445A" w14:textId="77777777" w:rsidR="001729B5" w:rsidRDefault="007C500D" w:rsidP="001729B5">
      <w:pPr>
        <w:spacing w:after="120" w:line="240" w:lineRule="auto"/>
        <w:rPr>
          <w:rFonts w:eastAsia="Times New Roman"/>
          <w:bCs/>
        </w:rPr>
      </w:pPr>
      <w:hyperlink r:id="rId14" w:history="1">
        <w:r w:rsidR="001729B5" w:rsidRPr="001B0EE8">
          <w:rPr>
            <w:rStyle w:val="Hyperlink"/>
            <w:rFonts w:eastAsia="Times New Roman"/>
            <w:bCs/>
          </w:rPr>
          <w:t>http://www.ioc-unesco.org/index.php?option=com_oe&amp;task=viewDocumentRecord&amp;docID=19770</w:t>
        </w:r>
      </w:hyperlink>
    </w:p>
    <w:p w14:paraId="3D1F14A6" w14:textId="77777777" w:rsidR="001729B5" w:rsidRPr="00672736" w:rsidRDefault="001729B5" w:rsidP="001729B5">
      <w:pPr>
        <w:spacing w:after="120" w:line="240" w:lineRule="auto"/>
        <w:rPr>
          <w:rFonts w:eastAsia="Times New Roman"/>
          <w:b/>
          <w:bCs/>
        </w:rPr>
      </w:pPr>
      <w:r w:rsidRPr="00DB2056">
        <w:rPr>
          <w:rFonts w:cs="TimesNewRomanPS-BoldMT"/>
          <w:bCs/>
        </w:rPr>
        <w:t>IOC-XXIX/2 Annex 14</w:t>
      </w:r>
    </w:p>
    <w:p w14:paraId="6C6809FB" w14:textId="687BBDC0" w:rsidR="001729B5" w:rsidRDefault="007C500D" w:rsidP="001729B5">
      <w:pPr>
        <w:spacing w:after="120" w:line="240" w:lineRule="auto"/>
        <w:rPr>
          <w:rStyle w:val="Hyperlink"/>
          <w:rFonts w:eastAsia="Times New Roman"/>
          <w:bCs/>
          <w:lang w:val="en-US"/>
        </w:rPr>
      </w:pPr>
      <w:hyperlink r:id="rId15" w:history="1">
        <w:r w:rsidR="001729B5" w:rsidRPr="00634F6B">
          <w:rPr>
            <w:rStyle w:val="Hyperlink"/>
            <w:rFonts w:eastAsia="Times New Roman"/>
            <w:bCs/>
            <w:lang w:val="en-US"/>
          </w:rPr>
          <w:t>http://ioc-unesco.org/index.php?option=com_oe&amp;task=viewDocumentRecord&amp;docID=19589</w:t>
        </w:r>
      </w:hyperlink>
    </w:p>
    <w:p w14:paraId="6E2B5D44" w14:textId="738A6AB2" w:rsidR="003A5E30" w:rsidRPr="003A5E30" w:rsidRDefault="003A5E30" w:rsidP="001729B5">
      <w:pPr>
        <w:spacing w:after="120" w:line="240" w:lineRule="auto"/>
        <w:rPr>
          <w:rFonts w:cs="TimesNewRomanPS-BoldMT"/>
        </w:rPr>
      </w:pPr>
      <w:r w:rsidRPr="003A5E30">
        <w:rPr>
          <w:rFonts w:cs="TimesNewRomanPS-BoldMT"/>
        </w:rPr>
        <w:t>R&amp;D relevant data</w:t>
      </w:r>
    </w:p>
    <w:p w14:paraId="202C323E" w14:textId="5815BC43" w:rsidR="003A5E30" w:rsidRDefault="007C500D" w:rsidP="001729B5">
      <w:pPr>
        <w:spacing w:after="120" w:line="240" w:lineRule="auto"/>
        <w:rPr>
          <w:rFonts w:eastAsia="Times New Roman"/>
          <w:bCs/>
          <w:lang w:val="en-US"/>
        </w:rPr>
      </w:pPr>
      <w:hyperlink r:id="rId16" w:history="1">
        <w:r w:rsidR="003A5E30" w:rsidRPr="00016744">
          <w:rPr>
            <w:rStyle w:val="Hyperlink"/>
            <w:rFonts w:eastAsia="Times New Roman"/>
            <w:bCs/>
            <w:lang w:val="en-US"/>
          </w:rPr>
          <w:t>http://data.uis.unesco.org/</w:t>
        </w:r>
      </w:hyperlink>
      <w:r w:rsidR="003A5E30">
        <w:rPr>
          <w:rFonts w:eastAsia="Times New Roman"/>
          <w:bCs/>
          <w:lang w:val="en-US"/>
        </w:rPr>
        <w:t xml:space="preserve"> </w:t>
      </w:r>
    </w:p>
    <w:p w14:paraId="5F77F196" w14:textId="1985E1AB" w:rsidR="003A5E30" w:rsidRDefault="003A5E30" w:rsidP="001729B5">
      <w:pPr>
        <w:spacing w:after="120" w:line="240" w:lineRule="auto"/>
        <w:rPr>
          <w:rFonts w:eastAsia="Times New Roman"/>
          <w:bCs/>
          <w:lang w:val="en-US"/>
        </w:rPr>
      </w:pPr>
      <w:r>
        <w:rPr>
          <w:rFonts w:eastAsia="Times New Roman"/>
          <w:bCs/>
          <w:lang w:val="en-US"/>
        </w:rPr>
        <w:t xml:space="preserve">Definition/Concepts: </w:t>
      </w:r>
      <w:r w:rsidRPr="003A5E30">
        <w:rPr>
          <w:rFonts w:eastAsia="Times New Roman"/>
          <w:bCs/>
          <w:lang w:val="en-US"/>
        </w:rPr>
        <w:t>Frascati Manaual: Proposed Standard Practice for Surveys on Research and Experimental Development’ (OECD)</w:t>
      </w:r>
    </w:p>
    <w:p w14:paraId="47E60A91" w14:textId="77777777" w:rsidR="003A5E30" w:rsidRPr="00634F6B" w:rsidRDefault="003A5E30" w:rsidP="001729B5">
      <w:pPr>
        <w:spacing w:after="120" w:line="240" w:lineRule="auto"/>
        <w:rPr>
          <w:rFonts w:eastAsia="Times New Roman"/>
          <w:bCs/>
          <w:lang w:val="en-US"/>
        </w:rPr>
      </w:pPr>
    </w:p>
    <w:p w14:paraId="02B8768A" w14:textId="77777777" w:rsidR="0058556D" w:rsidRPr="00573631" w:rsidRDefault="0058556D" w:rsidP="00573631">
      <w:pPr>
        <w:pBdr>
          <w:bottom w:val="single" w:sz="12" w:space="4" w:color="DDDDDD"/>
        </w:pBdr>
        <w:shd w:val="clear" w:color="auto" w:fill="FFFFFF"/>
        <w:spacing w:after="0"/>
        <w:outlineLvl w:val="2"/>
        <w:rPr>
          <w:rFonts w:eastAsia="Times New Roman" w:cs="Times New Roman"/>
          <w:color w:val="1C75BC"/>
          <w:sz w:val="36"/>
          <w:szCs w:val="36"/>
          <w:lang w:eastAsia="en-GB"/>
        </w:rPr>
      </w:pPr>
      <w:r w:rsidRPr="00573631">
        <w:rPr>
          <w:rFonts w:eastAsia="Times New Roman" w:cs="Times New Roman"/>
          <w:color w:val="1C75BC"/>
          <w:sz w:val="36"/>
          <w:szCs w:val="36"/>
          <w:lang w:eastAsia="en-GB"/>
        </w:rPr>
        <w:t>Related indicators</w:t>
      </w:r>
    </w:p>
    <w:p w14:paraId="43F3D3FF" w14:textId="71814650" w:rsidR="00803CF1" w:rsidRDefault="001729B5" w:rsidP="00573631">
      <w:p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Links to SDG 17, SDG 5</w:t>
      </w:r>
    </w:p>
    <w:p w14:paraId="07734E6C" w14:textId="4B52198D" w:rsidR="001729B5" w:rsidRPr="00803CF1" w:rsidRDefault="001729B5" w:rsidP="00573631">
      <w:pPr>
        <w:shd w:val="clear" w:color="auto" w:fill="FFFFFF"/>
        <w:spacing w:after="0"/>
        <w:rPr>
          <w:rFonts w:eastAsia="Times New Roman" w:cs="Times New Roman"/>
          <w:color w:val="4A4A4A"/>
          <w:sz w:val="21"/>
          <w:szCs w:val="21"/>
          <w:lang w:eastAsia="en-GB"/>
        </w:rPr>
      </w:pPr>
      <w:r>
        <w:rPr>
          <w:rFonts w:eastAsia="Times New Roman" w:cs="Times New Roman"/>
          <w:color w:val="4A4A4A"/>
          <w:sz w:val="21"/>
          <w:szCs w:val="21"/>
          <w:lang w:eastAsia="en-GB"/>
        </w:rPr>
        <w:t>Targets: to all other SDG 14 targets as science is crucial to protect and conserve the oceans’ resoources.</w:t>
      </w:r>
    </w:p>
    <w:p w14:paraId="7C18B945" w14:textId="77777777" w:rsidR="0058556D" w:rsidRPr="00573631" w:rsidRDefault="0058556D" w:rsidP="00573631">
      <w:pPr>
        <w:shd w:val="clear" w:color="auto" w:fill="FFFFFF"/>
        <w:spacing w:after="0"/>
        <w:rPr>
          <w:rFonts w:eastAsia="Times New Roman" w:cs="Times New Roman"/>
          <w:color w:val="4A4A4A"/>
          <w:sz w:val="21"/>
          <w:szCs w:val="21"/>
          <w:lang w:eastAsia="en-GB"/>
        </w:rPr>
      </w:pPr>
    </w:p>
    <w:sectPr w:rsidR="0058556D" w:rsidRPr="0057363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3E39B" w14:textId="77777777" w:rsidR="007C500D" w:rsidRDefault="007C500D" w:rsidP="00573C0B">
      <w:pPr>
        <w:spacing w:after="0" w:line="240" w:lineRule="auto"/>
      </w:pPr>
      <w:r>
        <w:separator/>
      </w:r>
    </w:p>
  </w:endnote>
  <w:endnote w:type="continuationSeparator" w:id="0">
    <w:p w14:paraId="5EC063F4" w14:textId="77777777" w:rsidR="007C500D" w:rsidRDefault="007C500D" w:rsidP="0057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622AB" w14:textId="77777777" w:rsidR="007C500D" w:rsidRDefault="007C500D" w:rsidP="00573C0B">
      <w:pPr>
        <w:spacing w:after="0" w:line="240" w:lineRule="auto"/>
      </w:pPr>
      <w:r>
        <w:separator/>
      </w:r>
    </w:p>
  </w:footnote>
  <w:footnote w:type="continuationSeparator" w:id="0">
    <w:p w14:paraId="3AAF71F9" w14:textId="77777777" w:rsidR="007C500D" w:rsidRDefault="007C500D" w:rsidP="00573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15904"/>
    <w:multiLevelType w:val="hybridMultilevel"/>
    <w:tmpl w:val="9102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93CEE"/>
    <w:multiLevelType w:val="hybridMultilevel"/>
    <w:tmpl w:val="4C8C0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5344F4"/>
    <w:multiLevelType w:val="multilevel"/>
    <w:tmpl w:val="2AF8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BB6D20"/>
    <w:multiLevelType w:val="hybridMultilevel"/>
    <w:tmpl w:val="B38A5950"/>
    <w:lvl w:ilvl="0" w:tplc="D6D2C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532FB5"/>
    <w:multiLevelType w:val="hybridMultilevel"/>
    <w:tmpl w:val="F014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6D"/>
    <w:rsid w:val="000070BA"/>
    <w:rsid w:val="000173F9"/>
    <w:rsid w:val="0004698A"/>
    <w:rsid w:val="00047DDA"/>
    <w:rsid w:val="00071F07"/>
    <w:rsid w:val="0007759D"/>
    <w:rsid w:val="000777AB"/>
    <w:rsid w:val="00090FB1"/>
    <w:rsid w:val="00096186"/>
    <w:rsid w:val="000A72E4"/>
    <w:rsid w:val="000B0E2F"/>
    <w:rsid w:val="000B2430"/>
    <w:rsid w:val="000C4769"/>
    <w:rsid w:val="000D0B30"/>
    <w:rsid w:val="000F703E"/>
    <w:rsid w:val="00120E86"/>
    <w:rsid w:val="00125DE9"/>
    <w:rsid w:val="001332E0"/>
    <w:rsid w:val="00134DE7"/>
    <w:rsid w:val="001475B6"/>
    <w:rsid w:val="001729B5"/>
    <w:rsid w:val="00185354"/>
    <w:rsid w:val="001854DC"/>
    <w:rsid w:val="00194D09"/>
    <w:rsid w:val="001B60AA"/>
    <w:rsid w:val="001C421F"/>
    <w:rsid w:val="001D0A61"/>
    <w:rsid w:val="001D360D"/>
    <w:rsid w:val="00261A8D"/>
    <w:rsid w:val="00283C1C"/>
    <w:rsid w:val="00291A00"/>
    <w:rsid w:val="00291A11"/>
    <w:rsid w:val="002A315C"/>
    <w:rsid w:val="002A3342"/>
    <w:rsid w:val="002A64BA"/>
    <w:rsid w:val="002B4989"/>
    <w:rsid w:val="002D714E"/>
    <w:rsid w:val="002E53C3"/>
    <w:rsid w:val="00322FC1"/>
    <w:rsid w:val="003233AE"/>
    <w:rsid w:val="0034329E"/>
    <w:rsid w:val="00343FAA"/>
    <w:rsid w:val="00353C98"/>
    <w:rsid w:val="00371A20"/>
    <w:rsid w:val="00382012"/>
    <w:rsid w:val="003A5E30"/>
    <w:rsid w:val="003A7CEA"/>
    <w:rsid w:val="003F0BD3"/>
    <w:rsid w:val="003F278A"/>
    <w:rsid w:val="00422EA5"/>
    <w:rsid w:val="00422EFA"/>
    <w:rsid w:val="004456ED"/>
    <w:rsid w:val="004841B8"/>
    <w:rsid w:val="004930F2"/>
    <w:rsid w:val="004B0F1C"/>
    <w:rsid w:val="00502DBA"/>
    <w:rsid w:val="005040C4"/>
    <w:rsid w:val="00507637"/>
    <w:rsid w:val="00507852"/>
    <w:rsid w:val="00514DBF"/>
    <w:rsid w:val="00550921"/>
    <w:rsid w:val="00563712"/>
    <w:rsid w:val="00573631"/>
    <w:rsid w:val="00573C0B"/>
    <w:rsid w:val="0058556D"/>
    <w:rsid w:val="00597748"/>
    <w:rsid w:val="005D0AF4"/>
    <w:rsid w:val="005E54BD"/>
    <w:rsid w:val="005F6CCA"/>
    <w:rsid w:val="006104AF"/>
    <w:rsid w:val="00621893"/>
    <w:rsid w:val="006351E1"/>
    <w:rsid w:val="00674B9C"/>
    <w:rsid w:val="006852FC"/>
    <w:rsid w:val="006B40AB"/>
    <w:rsid w:val="006B5DC5"/>
    <w:rsid w:val="006C7D30"/>
    <w:rsid w:val="006E3C08"/>
    <w:rsid w:val="00700ACF"/>
    <w:rsid w:val="00712487"/>
    <w:rsid w:val="007378A3"/>
    <w:rsid w:val="007530CA"/>
    <w:rsid w:val="007578D9"/>
    <w:rsid w:val="00763E43"/>
    <w:rsid w:val="00764EB5"/>
    <w:rsid w:val="00777A95"/>
    <w:rsid w:val="007965CF"/>
    <w:rsid w:val="007C500D"/>
    <w:rsid w:val="007D0981"/>
    <w:rsid w:val="007D1929"/>
    <w:rsid w:val="00803CF1"/>
    <w:rsid w:val="008249C5"/>
    <w:rsid w:val="008526F9"/>
    <w:rsid w:val="008534D4"/>
    <w:rsid w:val="00881E28"/>
    <w:rsid w:val="00894C4B"/>
    <w:rsid w:val="008A12E3"/>
    <w:rsid w:val="008A42FA"/>
    <w:rsid w:val="008C2335"/>
    <w:rsid w:val="008C67C1"/>
    <w:rsid w:val="008E71A1"/>
    <w:rsid w:val="008F07D2"/>
    <w:rsid w:val="00917F65"/>
    <w:rsid w:val="009311E7"/>
    <w:rsid w:val="00971416"/>
    <w:rsid w:val="00974295"/>
    <w:rsid w:val="009A7E3A"/>
    <w:rsid w:val="009B1265"/>
    <w:rsid w:val="009B5693"/>
    <w:rsid w:val="009C78E4"/>
    <w:rsid w:val="009D687E"/>
    <w:rsid w:val="009F6DE7"/>
    <w:rsid w:val="00A37FCB"/>
    <w:rsid w:val="00A54863"/>
    <w:rsid w:val="00A61D74"/>
    <w:rsid w:val="00A8688B"/>
    <w:rsid w:val="00A9286F"/>
    <w:rsid w:val="00A963C0"/>
    <w:rsid w:val="00AF5CB4"/>
    <w:rsid w:val="00AF71D6"/>
    <w:rsid w:val="00B3175F"/>
    <w:rsid w:val="00B402D8"/>
    <w:rsid w:val="00B4237C"/>
    <w:rsid w:val="00B42FE8"/>
    <w:rsid w:val="00B52AFD"/>
    <w:rsid w:val="00B54077"/>
    <w:rsid w:val="00B5584D"/>
    <w:rsid w:val="00B8087E"/>
    <w:rsid w:val="00BB646E"/>
    <w:rsid w:val="00BD1BA1"/>
    <w:rsid w:val="00C35BC4"/>
    <w:rsid w:val="00C43F5B"/>
    <w:rsid w:val="00CB4371"/>
    <w:rsid w:val="00D40056"/>
    <w:rsid w:val="00D54F29"/>
    <w:rsid w:val="00D70AD9"/>
    <w:rsid w:val="00D72152"/>
    <w:rsid w:val="00D94BA5"/>
    <w:rsid w:val="00D9510F"/>
    <w:rsid w:val="00DD1BC6"/>
    <w:rsid w:val="00DE5DC3"/>
    <w:rsid w:val="00DF2D80"/>
    <w:rsid w:val="00E00D8A"/>
    <w:rsid w:val="00E11604"/>
    <w:rsid w:val="00E11D92"/>
    <w:rsid w:val="00E130A0"/>
    <w:rsid w:val="00E210C4"/>
    <w:rsid w:val="00E66409"/>
    <w:rsid w:val="00E81D5B"/>
    <w:rsid w:val="00EB19AD"/>
    <w:rsid w:val="00EB6493"/>
    <w:rsid w:val="00ED05A9"/>
    <w:rsid w:val="00F17257"/>
    <w:rsid w:val="00F34D24"/>
    <w:rsid w:val="00F556A2"/>
    <w:rsid w:val="00F76AD0"/>
    <w:rsid w:val="00F878B9"/>
    <w:rsid w:val="00FB24E8"/>
    <w:rsid w:val="00FB3B2B"/>
    <w:rsid w:val="00FC18DA"/>
    <w:rsid w:val="00FD60DA"/>
    <w:rsid w:val="00FF21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98EC02"/>
  <w15:docId w15:val="{627024D4-9228-4E6F-A7A8-CC1CC321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C0B"/>
  </w:style>
  <w:style w:type="paragraph" w:styleId="Heading1">
    <w:name w:val="heading 1"/>
    <w:basedOn w:val="Normal"/>
    <w:next w:val="Normal"/>
    <w:link w:val="Heading1Char"/>
    <w:uiPriority w:val="9"/>
    <w:qFormat/>
    <w:rsid w:val="0058556D"/>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56D"/>
    <w:rPr>
      <w:rFonts w:asciiTheme="majorHAnsi" w:eastAsiaTheme="majorEastAsia" w:hAnsiTheme="majorHAnsi" w:cstheme="majorBidi"/>
      <w:b/>
      <w:bCs/>
      <w:color w:val="365F91" w:themeColor="accent1" w:themeShade="BF"/>
      <w:sz w:val="28"/>
      <w:szCs w:val="28"/>
      <w:lang w:eastAsia="en-US"/>
    </w:rPr>
  </w:style>
  <w:style w:type="paragraph" w:styleId="BalloonText">
    <w:name w:val="Balloon Text"/>
    <w:basedOn w:val="Normal"/>
    <w:link w:val="BalloonTextChar"/>
    <w:uiPriority w:val="99"/>
    <w:semiHidden/>
    <w:unhideWhenUsed/>
    <w:rsid w:val="00D70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AD9"/>
    <w:rPr>
      <w:rFonts w:ascii="Tahoma" w:hAnsi="Tahoma" w:cs="Tahoma"/>
      <w:sz w:val="16"/>
      <w:szCs w:val="16"/>
    </w:rPr>
  </w:style>
  <w:style w:type="character" w:styleId="CommentReference">
    <w:name w:val="annotation reference"/>
    <w:basedOn w:val="DefaultParagraphFont"/>
    <w:uiPriority w:val="99"/>
    <w:semiHidden/>
    <w:unhideWhenUsed/>
    <w:rsid w:val="00A61D74"/>
    <w:rPr>
      <w:sz w:val="16"/>
      <w:szCs w:val="16"/>
    </w:rPr>
  </w:style>
  <w:style w:type="paragraph" w:styleId="CommentText">
    <w:name w:val="annotation text"/>
    <w:basedOn w:val="Normal"/>
    <w:link w:val="CommentTextChar"/>
    <w:uiPriority w:val="99"/>
    <w:semiHidden/>
    <w:unhideWhenUsed/>
    <w:rsid w:val="00A61D74"/>
    <w:pPr>
      <w:spacing w:line="240" w:lineRule="auto"/>
    </w:pPr>
    <w:rPr>
      <w:sz w:val="20"/>
      <w:szCs w:val="20"/>
    </w:rPr>
  </w:style>
  <w:style w:type="character" w:customStyle="1" w:styleId="CommentTextChar">
    <w:name w:val="Comment Text Char"/>
    <w:basedOn w:val="DefaultParagraphFont"/>
    <w:link w:val="CommentText"/>
    <w:uiPriority w:val="99"/>
    <w:semiHidden/>
    <w:rsid w:val="00A61D74"/>
    <w:rPr>
      <w:sz w:val="20"/>
      <w:szCs w:val="20"/>
    </w:rPr>
  </w:style>
  <w:style w:type="paragraph" w:styleId="CommentSubject">
    <w:name w:val="annotation subject"/>
    <w:basedOn w:val="CommentText"/>
    <w:next w:val="CommentText"/>
    <w:link w:val="CommentSubjectChar"/>
    <w:uiPriority w:val="99"/>
    <w:semiHidden/>
    <w:unhideWhenUsed/>
    <w:rsid w:val="00A61D74"/>
    <w:rPr>
      <w:b/>
      <w:bCs/>
    </w:rPr>
  </w:style>
  <w:style w:type="character" w:customStyle="1" w:styleId="CommentSubjectChar">
    <w:name w:val="Comment Subject Char"/>
    <w:basedOn w:val="CommentTextChar"/>
    <w:link w:val="CommentSubject"/>
    <w:uiPriority w:val="99"/>
    <w:semiHidden/>
    <w:rsid w:val="00A61D74"/>
    <w:rPr>
      <w:b/>
      <w:bCs/>
      <w:sz w:val="20"/>
      <w:szCs w:val="20"/>
    </w:rPr>
  </w:style>
  <w:style w:type="paragraph" w:styleId="ListParagraph">
    <w:name w:val="List Paragraph"/>
    <w:basedOn w:val="Normal"/>
    <w:uiPriority w:val="34"/>
    <w:qFormat/>
    <w:rsid w:val="00A61D74"/>
    <w:pPr>
      <w:ind w:left="720"/>
      <w:contextualSpacing/>
    </w:pPr>
  </w:style>
  <w:style w:type="character" w:styleId="Hyperlink">
    <w:name w:val="Hyperlink"/>
    <w:basedOn w:val="DefaultParagraphFont"/>
    <w:uiPriority w:val="99"/>
    <w:unhideWhenUsed/>
    <w:rsid w:val="00621893"/>
    <w:rPr>
      <w:color w:val="0000FF" w:themeColor="hyperlink"/>
      <w:u w:val="single"/>
    </w:rPr>
  </w:style>
  <w:style w:type="paragraph" w:styleId="Header">
    <w:name w:val="header"/>
    <w:basedOn w:val="Normal"/>
    <w:link w:val="HeaderChar"/>
    <w:uiPriority w:val="99"/>
    <w:unhideWhenUsed/>
    <w:rsid w:val="00573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C0B"/>
  </w:style>
  <w:style w:type="paragraph" w:styleId="Footer">
    <w:name w:val="footer"/>
    <w:basedOn w:val="Normal"/>
    <w:link w:val="FooterChar"/>
    <w:uiPriority w:val="99"/>
    <w:unhideWhenUsed/>
    <w:rsid w:val="00573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C0B"/>
  </w:style>
  <w:style w:type="paragraph" w:customStyle="1" w:styleId="MHeader">
    <w:name w:val="M.Header"/>
    <w:basedOn w:val="Normal"/>
    <w:link w:val="MHeaderChar"/>
    <w:qFormat/>
    <w:rsid w:val="00573C0B"/>
    <w:pPr>
      <w:pBdr>
        <w:bottom w:val="single" w:sz="12" w:space="4" w:color="DDDDDD"/>
      </w:pBdr>
      <w:shd w:val="clear" w:color="auto" w:fill="FFFFFF"/>
      <w:spacing w:after="0"/>
      <w:outlineLvl w:val="2"/>
    </w:pPr>
    <w:rPr>
      <w:rFonts w:eastAsia="Times New Roman" w:cs="Times New Roman"/>
      <w:color w:val="1C75BC"/>
      <w:sz w:val="36"/>
      <w:szCs w:val="36"/>
      <w:lang w:eastAsia="en-GB"/>
    </w:rPr>
  </w:style>
  <w:style w:type="paragraph" w:customStyle="1" w:styleId="MText">
    <w:name w:val="M.Text"/>
    <w:basedOn w:val="Normal"/>
    <w:link w:val="MTextChar"/>
    <w:qFormat/>
    <w:rsid w:val="00573C0B"/>
    <w:pPr>
      <w:shd w:val="clear" w:color="auto" w:fill="FFFFFF"/>
      <w:spacing w:after="0"/>
    </w:pPr>
    <w:rPr>
      <w:rFonts w:eastAsia="Times New Roman" w:cs="Times New Roman"/>
      <w:color w:val="4A4A4A"/>
      <w:sz w:val="21"/>
      <w:szCs w:val="21"/>
      <w:lang w:eastAsia="en-GB"/>
    </w:rPr>
  </w:style>
  <w:style w:type="character" w:customStyle="1" w:styleId="MHeaderChar">
    <w:name w:val="M.Header Char"/>
    <w:basedOn w:val="DefaultParagraphFont"/>
    <w:link w:val="MHeader"/>
    <w:rsid w:val="00573C0B"/>
    <w:rPr>
      <w:rFonts w:eastAsia="Times New Roman" w:cs="Times New Roman"/>
      <w:color w:val="1C75BC"/>
      <w:sz w:val="36"/>
      <w:szCs w:val="36"/>
      <w:shd w:val="clear" w:color="auto" w:fill="FFFFFF"/>
      <w:lang w:eastAsia="en-GB"/>
    </w:rPr>
  </w:style>
  <w:style w:type="paragraph" w:customStyle="1" w:styleId="MSubHeader">
    <w:name w:val="M.Sub.Header"/>
    <w:basedOn w:val="Normal"/>
    <w:link w:val="MSubHeaderChar"/>
    <w:qFormat/>
    <w:rsid w:val="00573C0B"/>
    <w:pPr>
      <w:shd w:val="clear" w:color="auto" w:fill="FFFFFF"/>
      <w:spacing w:after="0"/>
    </w:pPr>
    <w:rPr>
      <w:rFonts w:eastAsia="Times New Roman" w:cs="Times New Roman"/>
      <w:b/>
      <w:bCs/>
      <w:color w:val="4A4A4A"/>
      <w:sz w:val="21"/>
      <w:szCs w:val="21"/>
      <w:lang w:eastAsia="en-GB"/>
    </w:rPr>
  </w:style>
  <w:style w:type="character" w:customStyle="1" w:styleId="MTextChar">
    <w:name w:val="M.Text Char"/>
    <w:basedOn w:val="DefaultParagraphFont"/>
    <w:link w:val="MText"/>
    <w:rsid w:val="00573C0B"/>
    <w:rPr>
      <w:rFonts w:eastAsia="Times New Roman" w:cs="Times New Roman"/>
      <w:color w:val="4A4A4A"/>
      <w:sz w:val="21"/>
      <w:szCs w:val="21"/>
      <w:shd w:val="clear" w:color="auto" w:fill="FFFFFF"/>
      <w:lang w:eastAsia="en-GB"/>
    </w:rPr>
  </w:style>
  <w:style w:type="paragraph" w:customStyle="1" w:styleId="MGTHeader">
    <w:name w:val="M.G+T.Header"/>
    <w:basedOn w:val="Normal"/>
    <w:link w:val="MGTHeaderChar"/>
    <w:qFormat/>
    <w:rsid w:val="00573C0B"/>
    <w:pPr>
      <w:shd w:val="clear" w:color="auto" w:fill="F5F5F5"/>
      <w:spacing w:after="0"/>
      <w:outlineLvl w:val="4"/>
    </w:pPr>
    <w:rPr>
      <w:rFonts w:eastAsia="Times New Roman" w:cs="Times New Roman"/>
      <w:color w:val="333333"/>
      <w:sz w:val="21"/>
      <w:szCs w:val="21"/>
      <w:lang w:eastAsia="en-GB"/>
    </w:rPr>
  </w:style>
  <w:style w:type="character" w:customStyle="1" w:styleId="MSubHeaderChar">
    <w:name w:val="M.Sub.Header Char"/>
    <w:basedOn w:val="DefaultParagraphFont"/>
    <w:link w:val="MSubHeader"/>
    <w:rsid w:val="00573C0B"/>
    <w:rPr>
      <w:rFonts w:eastAsia="Times New Roman" w:cs="Times New Roman"/>
      <w:b/>
      <w:bCs/>
      <w:color w:val="4A4A4A"/>
      <w:sz w:val="21"/>
      <w:szCs w:val="21"/>
      <w:shd w:val="clear" w:color="auto" w:fill="FFFFFF"/>
      <w:lang w:eastAsia="en-GB"/>
    </w:rPr>
  </w:style>
  <w:style w:type="paragraph" w:customStyle="1" w:styleId="MIndHeader">
    <w:name w:val="M.Ind.Header"/>
    <w:basedOn w:val="Normal"/>
    <w:link w:val="MIndHeaderChar"/>
    <w:qFormat/>
    <w:rsid w:val="00573C0B"/>
    <w:pPr>
      <w:shd w:val="clear" w:color="auto" w:fill="F5F5F5"/>
      <w:spacing w:after="0"/>
      <w:outlineLvl w:val="1"/>
    </w:pPr>
    <w:rPr>
      <w:rFonts w:eastAsia="Times New Roman" w:cs="Times New Roman"/>
      <w:color w:val="1C75BC"/>
      <w:lang w:eastAsia="en-GB"/>
    </w:rPr>
  </w:style>
  <w:style w:type="character" w:customStyle="1" w:styleId="MGTHeaderChar">
    <w:name w:val="M.G+T.Header Char"/>
    <w:basedOn w:val="DefaultParagraphFont"/>
    <w:link w:val="MGTHeader"/>
    <w:rsid w:val="00573C0B"/>
    <w:rPr>
      <w:rFonts w:eastAsia="Times New Roman" w:cs="Times New Roman"/>
      <w:color w:val="333333"/>
      <w:sz w:val="21"/>
      <w:szCs w:val="21"/>
      <w:shd w:val="clear" w:color="auto" w:fill="F5F5F5"/>
      <w:lang w:eastAsia="en-GB"/>
    </w:rPr>
  </w:style>
  <w:style w:type="character" w:customStyle="1" w:styleId="MIndHeaderChar">
    <w:name w:val="M.Ind.Header Char"/>
    <w:basedOn w:val="DefaultParagraphFont"/>
    <w:link w:val="MIndHeader"/>
    <w:rsid w:val="00573C0B"/>
    <w:rPr>
      <w:rFonts w:eastAsia="Times New Roman" w:cs="Times New Roman"/>
      <w:color w:val="1C75BC"/>
      <w:shd w:val="clear" w:color="auto" w:fill="F5F5F5"/>
      <w:lang w:eastAsia="en-GB"/>
    </w:rPr>
  </w:style>
  <w:style w:type="paragraph" w:styleId="Caption">
    <w:name w:val="caption"/>
    <w:basedOn w:val="Normal"/>
    <w:next w:val="Normal"/>
    <w:uiPriority w:val="35"/>
    <w:unhideWhenUsed/>
    <w:qFormat/>
    <w:rsid w:val="00F76AD0"/>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unstats.un.org/sdgs/iaeg-sdgs/metadata-compilation/&amp;sa=D&amp;ust=1466027477693000&amp;usg=AFQjCNFlmrpuY54k6VytW1h6omz-Opz6Jw" TargetMode="External"/><Relationship Id="rId13" Type="http://schemas.openxmlformats.org/officeDocument/2006/relationships/hyperlink" Target="https://en.unesco.org/unesco_science_rep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unesco.org/go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ata.uis.unesc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sensee@unesco.org" TargetMode="External"/><Relationship Id="rId5" Type="http://schemas.openxmlformats.org/officeDocument/2006/relationships/webSettings" Target="webSettings.xml"/><Relationship Id="rId15" Type="http://schemas.openxmlformats.org/officeDocument/2006/relationships/hyperlink" Target="http://ioc-unesco.org/index.php?option=com_oe&amp;task=viewDocumentRecord&amp;docID=19589" TargetMode="External"/><Relationship Id="rId10" Type="http://schemas.openxmlformats.org/officeDocument/2006/relationships/hyperlink" Target="mailto:j.barbiere@unesco.org" TargetMode="External"/><Relationship Id="rId4" Type="http://schemas.openxmlformats.org/officeDocument/2006/relationships/settings" Target="settings.xml"/><Relationship Id="rId9" Type="http://schemas.openxmlformats.org/officeDocument/2006/relationships/hyperlink" Target="mailto:lin@un.org" TargetMode="External"/><Relationship Id="rId14" Type="http://schemas.openxmlformats.org/officeDocument/2006/relationships/hyperlink" Target="http://www.ioc-unesco.org/index.php?option=com_oe&amp;task=viewDocumentRecord&amp;docID=19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A9C4-7B1A-482E-B9B1-FF72034D8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2373</Words>
  <Characters>12914</Characters>
  <Application>Microsoft Office Word</Application>
  <DocSecurity>0</DocSecurity>
  <Lines>339</Lines>
  <Paragraphs>272</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15015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 Lin</dc:creator>
  <cp:lastModifiedBy>Isensee, Kirsten</cp:lastModifiedBy>
  <cp:revision>5</cp:revision>
  <cp:lastPrinted>2016-07-16T14:25:00Z</cp:lastPrinted>
  <dcterms:created xsi:type="dcterms:W3CDTF">2017-10-31T11:36:00Z</dcterms:created>
  <dcterms:modified xsi:type="dcterms:W3CDTF">2018-01-04T15:39:00Z</dcterms:modified>
</cp:coreProperties>
</file>